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dTable2-Accent3"/>
        <w:tblW w:w="0" w:type="auto"/>
        <w:tblLook w:val="04A0" w:firstRow="1" w:lastRow="0" w:firstColumn="1" w:lastColumn="0" w:noHBand="0" w:noVBand="1"/>
      </w:tblPr>
      <w:tblGrid>
        <w:gridCol w:w="2155"/>
        <w:gridCol w:w="7195"/>
      </w:tblGrid>
      <w:tr w:rsidR="00494E80" w:rsidRPr="006C5D0C" w14:paraId="4D6B693B" w14:textId="77777777" w:rsidTr="00087808">
        <w:trPr>
          <w:cnfStyle w:val="100000000000" w:firstRow="1" w:lastRow="0" w:firstColumn="0" w:lastColumn="0" w:oddVBand="0" w:evenVBand="0" w:oddHBand="0"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9350" w:type="dxa"/>
            <w:gridSpan w:val="2"/>
          </w:tcPr>
          <w:p w14:paraId="17FFDA6E" w14:textId="3A74286B" w:rsidR="00494E80" w:rsidRPr="000B6A7B" w:rsidRDefault="00494E80" w:rsidP="00E34692">
            <w:pPr>
              <w:jc w:val="center"/>
              <w:rPr>
                <w:rFonts w:cs="Times New Roman"/>
              </w:rPr>
            </w:pPr>
            <w:r w:rsidRPr="000B6A7B">
              <w:rPr>
                <w:rFonts w:cs="Times New Roman"/>
                <w:sz w:val="28"/>
                <w:szCs w:val="24"/>
              </w:rPr>
              <w:t xml:space="preserve">ASTM </w:t>
            </w:r>
            <w:r w:rsidR="00471DB8" w:rsidRPr="000B6A7B">
              <w:rPr>
                <w:rFonts w:cs="Times New Roman"/>
                <w:sz w:val="28"/>
                <w:szCs w:val="24"/>
              </w:rPr>
              <w:t xml:space="preserve">STUDENT CHAPTER </w:t>
            </w:r>
            <w:r w:rsidRPr="000B6A7B">
              <w:rPr>
                <w:rFonts w:cs="Times New Roman"/>
                <w:sz w:val="28"/>
                <w:szCs w:val="24"/>
              </w:rPr>
              <w:t>STANDARDS CURRICULUM</w:t>
            </w:r>
          </w:p>
        </w:tc>
      </w:tr>
      <w:tr w:rsidR="00494E80" w:rsidRPr="006C5D0C" w14:paraId="23B637E1" w14:textId="77777777" w:rsidTr="00087808">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2155" w:type="dxa"/>
          </w:tcPr>
          <w:p w14:paraId="2CB0C9E9" w14:textId="59D41FB4" w:rsidR="00494E80" w:rsidRPr="000B6A7B" w:rsidRDefault="00494E80" w:rsidP="00087808">
            <w:pPr>
              <w:jc w:val="center"/>
              <w:rPr>
                <w:rFonts w:cs="Times New Roman"/>
              </w:rPr>
            </w:pPr>
            <w:r w:rsidRPr="000B6A7B">
              <w:rPr>
                <w:rFonts w:cs="Times New Roman"/>
              </w:rPr>
              <w:t>MODULE</w:t>
            </w:r>
          </w:p>
        </w:tc>
        <w:tc>
          <w:tcPr>
            <w:tcW w:w="7195" w:type="dxa"/>
          </w:tcPr>
          <w:p w14:paraId="153EC271" w14:textId="23867DA2" w:rsidR="00494E80" w:rsidRPr="000B6A7B" w:rsidRDefault="00494E80" w:rsidP="00671C3B">
            <w:pPr>
              <w:cnfStyle w:val="000000100000" w:firstRow="0" w:lastRow="0" w:firstColumn="0" w:lastColumn="0" w:oddVBand="0" w:evenVBand="0" w:oddHBand="1" w:evenHBand="0" w:firstRowFirstColumn="0" w:firstRowLastColumn="0" w:lastRowFirstColumn="0" w:lastRowLastColumn="0"/>
              <w:rPr>
                <w:rFonts w:cs="Times New Roman"/>
                <w:b/>
                <w:bCs/>
              </w:rPr>
            </w:pPr>
            <w:r w:rsidRPr="000B6A7B">
              <w:rPr>
                <w:rFonts w:cs="Times New Roman"/>
                <w:b/>
                <w:bCs/>
              </w:rPr>
              <w:t>TOPIC</w:t>
            </w:r>
          </w:p>
        </w:tc>
      </w:tr>
      <w:tr w:rsidR="00494E80" w:rsidRPr="00D64339" w14:paraId="5A189C3F" w14:textId="77777777" w:rsidTr="0099102B">
        <w:trPr>
          <w:trHeight w:val="432"/>
        </w:trPr>
        <w:tc>
          <w:tcPr>
            <w:cnfStyle w:val="001000000000" w:firstRow="0" w:lastRow="0" w:firstColumn="1" w:lastColumn="0" w:oddVBand="0" w:evenVBand="0" w:oddHBand="0" w:evenHBand="0" w:firstRowFirstColumn="0" w:firstRowLastColumn="0" w:lastRowFirstColumn="0" w:lastRowLastColumn="0"/>
            <w:tcW w:w="2155" w:type="dxa"/>
            <w:vAlign w:val="center"/>
          </w:tcPr>
          <w:p w14:paraId="208A6983" w14:textId="623A6E1C" w:rsidR="00494E80" w:rsidRPr="00D64339" w:rsidRDefault="00454FBA" w:rsidP="0099102B">
            <w:pPr>
              <w:jc w:val="center"/>
              <w:rPr>
                <w:rFonts w:cs="Times New Roman"/>
                <w:b w:val="0"/>
              </w:rPr>
            </w:pPr>
            <w:r>
              <w:rPr>
                <w:rFonts w:cs="Times New Roman"/>
                <w:b w:val="0"/>
              </w:rPr>
              <w:t>1</w:t>
            </w:r>
          </w:p>
        </w:tc>
        <w:tc>
          <w:tcPr>
            <w:tcW w:w="7195" w:type="dxa"/>
            <w:vAlign w:val="center"/>
          </w:tcPr>
          <w:p w14:paraId="78FE97F5" w14:textId="295F1160" w:rsidR="00494E80" w:rsidRPr="00D64339" w:rsidRDefault="006336FD" w:rsidP="0099102B">
            <w:pPr>
              <w:jc w:val="left"/>
              <w:cnfStyle w:val="000000000000" w:firstRow="0" w:lastRow="0" w:firstColumn="0" w:lastColumn="0" w:oddVBand="0" w:evenVBand="0" w:oddHBand="0" w:evenHBand="0" w:firstRowFirstColumn="0" w:firstRowLastColumn="0" w:lastRowFirstColumn="0" w:lastRowLastColumn="0"/>
              <w:rPr>
                <w:rFonts w:cs="Times New Roman"/>
              </w:rPr>
            </w:pPr>
            <w:r w:rsidRPr="00D64339">
              <w:rPr>
                <w:rFonts w:cs="Times New Roman"/>
              </w:rPr>
              <w:t xml:space="preserve">Strategic Integration of </w:t>
            </w:r>
            <w:r w:rsidR="00E52AB1">
              <w:rPr>
                <w:rFonts w:cs="Times New Roman"/>
              </w:rPr>
              <w:t xml:space="preserve">Voluntary </w:t>
            </w:r>
            <w:r w:rsidRPr="00D64339">
              <w:rPr>
                <w:rFonts w:cs="Times New Roman"/>
              </w:rPr>
              <w:t>Consensus Standards to Facilitate Technology Acceptance</w:t>
            </w:r>
            <w:r w:rsidR="00E52AB1">
              <w:rPr>
                <w:rFonts w:cs="Times New Roman"/>
              </w:rPr>
              <w:t xml:space="preserve"> and Diffusion</w:t>
            </w:r>
            <w:r w:rsidRPr="00D64339">
              <w:rPr>
                <w:rFonts w:cs="Times New Roman"/>
              </w:rPr>
              <w:t xml:space="preserve"> in Safety-Critical Industries</w:t>
            </w:r>
          </w:p>
        </w:tc>
      </w:tr>
    </w:tbl>
    <w:p w14:paraId="43CC8464" w14:textId="77777777" w:rsidR="00494E80" w:rsidRPr="00D64339" w:rsidRDefault="00494E80">
      <w:pPr>
        <w:rPr>
          <w:rFonts w:cs="Times New Roman"/>
        </w:rPr>
      </w:pPr>
    </w:p>
    <w:tbl>
      <w:tblPr>
        <w:tblStyle w:val="TableGrid"/>
        <w:tblW w:w="0" w:type="auto"/>
        <w:tblLook w:val="04A0" w:firstRow="1" w:lastRow="0" w:firstColumn="1" w:lastColumn="0" w:noHBand="0" w:noVBand="1"/>
      </w:tblPr>
      <w:tblGrid>
        <w:gridCol w:w="9350"/>
      </w:tblGrid>
      <w:tr w:rsidR="00E34692" w:rsidRPr="00D64339" w14:paraId="2ED83391" w14:textId="77777777" w:rsidTr="00E34692">
        <w:trPr>
          <w:trHeight w:val="432"/>
        </w:trPr>
        <w:tc>
          <w:tcPr>
            <w:tcW w:w="9350" w:type="dxa"/>
            <w:shd w:val="clear" w:color="auto" w:fill="F2F2F2" w:themeFill="background1" w:themeFillShade="F2"/>
            <w:vAlign w:val="center"/>
          </w:tcPr>
          <w:p w14:paraId="0875EB80" w14:textId="77777777" w:rsidR="00E34692" w:rsidRPr="00D64339" w:rsidRDefault="00E34692" w:rsidP="00E34692">
            <w:pPr>
              <w:jc w:val="center"/>
              <w:rPr>
                <w:rFonts w:cs="Times New Roman"/>
                <w:b/>
                <w:bCs/>
              </w:rPr>
            </w:pPr>
            <w:r w:rsidRPr="00D64339">
              <w:rPr>
                <w:rFonts w:cs="Times New Roman"/>
                <w:b/>
                <w:bCs/>
              </w:rPr>
              <w:t>OVERVIEW</w:t>
            </w:r>
          </w:p>
        </w:tc>
      </w:tr>
      <w:tr w:rsidR="00E34692" w:rsidRPr="00D64339" w14:paraId="4ACF59C0" w14:textId="77777777" w:rsidTr="00C84EA1">
        <w:trPr>
          <w:trHeight w:val="432"/>
        </w:trPr>
        <w:tc>
          <w:tcPr>
            <w:tcW w:w="9350" w:type="dxa"/>
            <w:vAlign w:val="center"/>
          </w:tcPr>
          <w:p w14:paraId="2ADBBC30" w14:textId="3C85A206" w:rsidR="00E34692" w:rsidRPr="00D64339" w:rsidRDefault="002E2035" w:rsidP="00CD47DF">
            <w:pPr>
              <w:jc w:val="left"/>
              <w:rPr>
                <w:rFonts w:cs="Times New Roman"/>
              </w:rPr>
            </w:pPr>
            <w:r>
              <w:rPr>
                <w:rFonts w:cs="Times New Roman"/>
              </w:rPr>
              <w:t xml:space="preserve">Consensus standards </w:t>
            </w:r>
            <w:r w:rsidR="000B6A7B">
              <w:rPr>
                <w:rFonts w:cs="Times New Roman"/>
              </w:rPr>
              <w:t>provide a</w:t>
            </w:r>
            <w:r w:rsidR="002602F1">
              <w:rPr>
                <w:rFonts w:cs="Times New Roman"/>
              </w:rPr>
              <w:t xml:space="preserve"> multi</w:t>
            </w:r>
            <w:r w:rsidR="000B6A7B">
              <w:rPr>
                <w:rFonts w:cs="Times New Roman"/>
              </w:rPr>
              <w:t>tude of</w:t>
            </w:r>
            <w:r w:rsidR="002602F1">
              <w:rPr>
                <w:rFonts w:cs="Times New Roman"/>
              </w:rPr>
              <w:t xml:space="preserve"> functions in </w:t>
            </w:r>
            <w:r w:rsidR="000B6A7B">
              <w:rPr>
                <w:rFonts w:cs="Times New Roman"/>
              </w:rPr>
              <w:t xml:space="preserve">promoting trade and facilitating technology development, acceptance, and diffusion. Depending on the </w:t>
            </w:r>
            <w:r w:rsidR="000E64B9">
              <w:rPr>
                <w:rFonts w:cs="Times New Roman"/>
              </w:rPr>
              <w:t xml:space="preserve">unique </w:t>
            </w:r>
            <w:r w:rsidR="000B6A7B">
              <w:rPr>
                <w:rFonts w:cs="Times New Roman"/>
              </w:rPr>
              <w:t>charact</w:t>
            </w:r>
            <w:r w:rsidR="000E64B9">
              <w:rPr>
                <w:rFonts w:cs="Times New Roman"/>
              </w:rPr>
              <w:t>eristics and nature of any given industry, certain functions will be emphasized / prioritized differently in order to address the most pressing obstacles associated with technology acceptance</w:t>
            </w:r>
            <w:r w:rsidR="00B453DC">
              <w:rPr>
                <w:rFonts w:cs="Times New Roman"/>
              </w:rPr>
              <w:t xml:space="preserve"> in that industry</w:t>
            </w:r>
            <w:r w:rsidR="000E64B9">
              <w:rPr>
                <w:rFonts w:cs="Times New Roman"/>
              </w:rPr>
              <w:t>.</w:t>
            </w:r>
            <w:r w:rsidR="002602F1">
              <w:rPr>
                <w:rFonts w:cs="Times New Roman"/>
              </w:rPr>
              <w:t xml:space="preserve"> </w:t>
            </w:r>
            <w:r w:rsidR="00960E91">
              <w:rPr>
                <w:rFonts w:cs="Times New Roman"/>
              </w:rPr>
              <w:t>Using safety-cri</w:t>
            </w:r>
            <w:r w:rsidR="00DE4F5E">
              <w:rPr>
                <w:rFonts w:cs="Times New Roman"/>
              </w:rPr>
              <w:t>tical industries as an example</w:t>
            </w:r>
            <w:r w:rsidR="00960E91">
              <w:rPr>
                <w:rFonts w:cs="Times New Roman"/>
              </w:rPr>
              <w:t xml:space="preserve">, </w:t>
            </w:r>
            <w:r w:rsidR="00DE4F5E">
              <w:rPr>
                <w:rFonts w:cs="Times New Roman"/>
              </w:rPr>
              <w:t>th</w:t>
            </w:r>
            <w:r w:rsidR="00B453DC">
              <w:rPr>
                <w:rFonts w:cs="Times New Roman"/>
              </w:rPr>
              <w:t>is</w:t>
            </w:r>
            <w:r w:rsidR="00DE4F5E">
              <w:rPr>
                <w:rFonts w:cs="Times New Roman"/>
              </w:rPr>
              <w:t xml:space="preserve"> module highlights how </w:t>
            </w:r>
            <w:r w:rsidR="007F544F">
              <w:rPr>
                <w:rFonts w:cs="Times New Roman"/>
              </w:rPr>
              <w:t>standards</w:t>
            </w:r>
            <w:r w:rsidR="00B453DC">
              <w:rPr>
                <w:rFonts w:cs="Times New Roman"/>
              </w:rPr>
              <w:t xml:space="preserve"> serve as critical enablers in </w:t>
            </w:r>
            <w:r w:rsidR="00384E18">
              <w:rPr>
                <w:rFonts w:cs="Times New Roman"/>
              </w:rPr>
              <w:t>risk mitigation by increasing transparency</w:t>
            </w:r>
            <w:r w:rsidR="007F544F">
              <w:rPr>
                <w:rFonts w:cs="Times New Roman"/>
              </w:rPr>
              <w:t xml:space="preserve"> </w:t>
            </w:r>
            <w:r w:rsidR="00384E18">
              <w:rPr>
                <w:rFonts w:cs="Times New Roman"/>
              </w:rPr>
              <w:t xml:space="preserve">and information symmetry across the primary stakeholders. </w:t>
            </w:r>
            <w:r w:rsidR="00B9062C">
              <w:rPr>
                <w:rFonts w:cs="Times New Roman"/>
              </w:rPr>
              <w:t>T</w:t>
            </w:r>
            <w:r w:rsidR="00474604">
              <w:rPr>
                <w:rFonts w:cs="Times New Roman"/>
              </w:rPr>
              <w:t>he flow of the material is intended to first raise the student’s awareness by highlighting the importance of external environmental factors on organizational culture (soft skills)</w:t>
            </w:r>
            <w:r w:rsidR="00EE6790">
              <w:rPr>
                <w:rFonts w:cs="Times New Roman"/>
              </w:rPr>
              <w:t xml:space="preserve">, and then introduce several empirical-based theoretical concepts that provide the academic underpinnings of how standards can be strategically integrated to address certain </w:t>
            </w:r>
            <w:r w:rsidR="00247AC7">
              <w:rPr>
                <w:rFonts w:cs="Times New Roman"/>
              </w:rPr>
              <w:t xml:space="preserve">requirements and </w:t>
            </w:r>
            <w:r w:rsidR="00EE6790">
              <w:rPr>
                <w:rFonts w:cs="Times New Roman"/>
              </w:rPr>
              <w:t>anomalies</w:t>
            </w:r>
            <w:r w:rsidR="00474604">
              <w:rPr>
                <w:rFonts w:cs="Times New Roman"/>
              </w:rPr>
              <w:t>.</w:t>
            </w:r>
            <w:r w:rsidR="00EE6790">
              <w:rPr>
                <w:rFonts w:cs="Times New Roman"/>
              </w:rPr>
              <w:t xml:space="preserve"> </w:t>
            </w:r>
            <w:r w:rsidR="00474604">
              <w:rPr>
                <w:rFonts w:cs="Times New Roman"/>
              </w:rPr>
              <w:t xml:space="preserve">  </w:t>
            </w:r>
            <w:r w:rsidR="00802539">
              <w:rPr>
                <w:rFonts w:cs="Times New Roman"/>
              </w:rPr>
              <w:t xml:space="preserve"> </w:t>
            </w:r>
          </w:p>
        </w:tc>
      </w:tr>
    </w:tbl>
    <w:p w14:paraId="4D645656" w14:textId="77777777" w:rsidR="00E34692" w:rsidRPr="00D64339" w:rsidRDefault="00E34692">
      <w:pPr>
        <w:rPr>
          <w:rFonts w:cs="Times New Roman"/>
        </w:rPr>
      </w:pPr>
    </w:p>
    <w:tbl>
      <w:tblPr>
        <w:tblStyle w:val="TableGrid"/>
        <w:tblW w:w="9593" w:type="dxa"/>
        <w:tblLook w:val="04A0" w:firstRow="1" w:lastRow="0" w:firstColumn="1" w:lastColumn="0" w:noHBand="0" w:noVBand="1"/>
      </w:tblPr>
      <w:tblGrid>
        <w:gridCol w:w="9593"/>
      </w:tblGrid>
      <w:tr w:rsidR="00E34692" w:rsidRPr="00D64339" w14:paraId="133F24C3" w14:textId="77777777" w:rsidTr="006D319B">
        <w:trPr>
          <w:trHeight w:val="432"/>
        </w:trPr>
        <w:tc>
          <w:tcPr>
            <w:tcW w:w="9593" w:type="dxa"/>
            <w:shd w:val="clear" w:color="auto" w:fill="F2F2F2" w:themeFill="background1" w:themeFillShade="F2"/>
            <w:vAlign w:val="center"/>
          </w:tcPr>
          <w:p w14:paraId="4C592722" w14:textId="0229E962" w:rsidR="00E34692" w:rsidRPr="00D64339" w:rsidRDefault="00E34692" w:rsidP="00E34692">
            <w:pPr>
              <w:jc w:val="center"/>
              <w:rPr>
                <w:rFonts w:cs="Times New Roman"/>
                <w:b/>
                <w:bCs/>
              </w:rPr>
            </w:pPr>
            <w:r w:rsidRPr="00D64339">
              <w:rPr>
                <w:rFonts w:cs="Times New Roman"/>
                <w:b/>
                <w:bCs/>
              </w:rPr>
              <w:t>LEARNING OBJECTIVES</w:t>
            </w:r>
          </w:p>
        </w:tc>
      </w:tr>
      <w:tr w:rsidR="00E34692" w:rsidRPr="00D64339" w14:paraId="2DB5BA30" w14:textId="77777777" w:rsidTr="006D319B">
        <w:trPr>
          <w:trHeight w:val="917"/>
        </w:trPr>
        <w:tc>
          <w:tcPr>
            <w:tcW w:w="9593" w:type="dxa"/>
          </w:tcPr>
          <w:p w14:paraId="5876730D" w14:textId="45DD79E5" w:rsidR="00EC6A6E" w:rsidRPr="00055615" w:rsidRDefault="00055615" w:rsidP="00055615">
            <w:pPr>
              <w:rPr>
                <w:rFonts w:cs="Times New Roman"/>
              </w:rPr>
            </w:pPr>
            <w:r w:rsidRPr="00055615">
              <w:rPr>
                <w:rFonts w:cs="Times New Roman"/>
              </w:rPr>
              <w:t>1.</w:t>
            </w:r>
            <w:r>
              <w:rPr>
                <w:rFonts w:cs="Times New Roman"/>
              </w:rPr>
              <w:t xml:space="preserve"> </w:t>
            </w:r>
            <w:r w:rsidR="00B1774A" w:rsidRPr="00055615">
              <w:rPr>
                <w:rFonts w:cs="Times New Roman"/>
              </w:rPr>
              <w:t>Identify and characterize safety-critical industries</w:t>
            </w:r>
          </w:p>
          <w:p w14:paraId="5E6C8048" w14:textId="5C9A202E" w:rsidR="007D5EB0" w:rsidRPr="00055615" w:rsidRDefault="00055615" w:rsidP="00055615">
            <w:pPr>
              <w:rPr>
                <w:rFonts w:cs="Times New Roman"/>
              </w:rPr>
            </w:pPr>
            <w:r>
              <w:rPr>
                <w:rFonts w:cs="Times New Roman"/>
              </w:rPr>
              <w:t xml:space="preserve">2. </w:t>
            </w:r>
            <w:r w:rsidR="007D5EB0" w:rsidRPr="00055615">
              <w:rPr>
                <w:rFonts w:cs="Times New Roman"/>
              </w:rPr>
              <w:t>Understand how industry</w:t>
            </w:r>
            <w:r w:rsidR="00B1774A" w:rsidRPr="00055615">
              <w:rPr>
                <w:rFonts w:cs="Times New Roman"/>
              </w:rPr>
              <w:t xml:space="preserve"> characteristics impact Technology Acceptance Models</w:t>
            </w:r>
          </w:p>
          <w:p w14:paraId="29BACDFE" w14:textId="05DB008E" w:rsidR="00055615" w:rsidRPr="00055615" w:rsidRDefault="00055615" w:rsidP="00055615">
            <w:pPr>
              <w:rPr>
                <w:rFonts w:cs="Times New Roman"/>
              </w:rPr>
            </w:pPr>
            <w:r>
              <w:rPr>
                <w:rFonts w:cs="Times New Roman"/>
              </w:rPr>
              <w:t xml:space="preserve">3. </w:t>
            </w:r>
            <w:r w:rsidR="00B1774A" w:rsidRPr="00055615">
              <w:rPr>
                <w:rFonts w:cs="Times New Roman"/>
              </w:rPr>
              <w:t>Demonstrate an awareness of key theoretical concepts</w:t>
            </w:r>
            <w:r w:rsidR="00333A57">
              <w:rPr>
                <w:rFonts w:cs="Times New Roman"/>
              </w:rPr>
              <w:t xml:space="preserve"> that enhance a complete understanding of why standards </w:t>
            </w:r>
            <w:r w:rsidR="004F2736">
              <w:rPr>
                <w:rFonts w:cs="Times New Roman"/>
              </w:rPr>
              <w:t>enhance technology acceptance and diffusion in safety critical industries</w:t>
            </w:r>
          </w:p>
          <w:p w14:paraId="192EA643" w14:textId="0F4D5BF8" w:rsidR="00EC6A6E" w:rsidRPr="00055615" w:rsidRDefault="00055615" w:rsidP="00055615">
            <w:pPr>
              <w:rPr>
                <w:rFonts w:cs="Times New Roman"/>
              </w:rPr>
            </w:pPr>
            <w:r>
              <w:rPr>
                <w:rFonts w:cs="Times New Roman"/>
              </w:rPr>
              <w:t xml:space="preserve">     A. </w:t>
            </w:r>
            <w:r w:rsidR="00B1774A" w:rsidRPr="00055615">
              <w:rPr>
                <w:rFonts w:cs="Times New Roman"/>
              </w:rPr>
              <w:t>Information asymmetry</w:t>
            </w:r>
          </w:p>
          <w:p w14:paraId="2DAD0EE4" w14:textId="6B382955" w:rsidR="00EC6A6E" w:rsidRPr="00055615" w:rsidRDefault="00055615" w:rsidP="00055615">
            <w:pPr>
              <w:rPr>
                <w:rFonts w:cs="Times New Roman"/>
              </w:rPr>
            </w:pPr>
            <w:r>
              <w:rPr>
                <w:rFonts w:cs="Times New Roman"/>
              </w:rPr>
              <w:t xml:space="preserve">     B. </w:t>
            </w:r>
            <w:r w:rsidR="00B1774A" w:rsidRPr="00055615">
              <w:rPr>
                <w:rFonts w:cs="Times New Roman"/>
              </w:rPr>
              <w:t>Institutional-trust theory</w:t>
            </w:r>
          </w:p>
          <w:p w14:paraId="6320FD4B" w14:textId="64969FE8" w:rsidR="00EC6A6E" w:rsidRPr="00055615" w:rsidRDefault="00055615" w:rsidP="00055615">
            <w:pPr>
              <w:rPr>
                <w:rFonts w:cs="Times New Roman"/>
              </w:rPr>
            </w:pPr>
            <w:r>
              <w:rPr>
                <w:rFonts w:cs="Times New Roman"/>
              </w:rPr>
              <w:t xml:space="preserve">     C. </w:t>
            </w:r>
            <w:r w:rsidR="00B1774A" w:rsidRPr="00055615">
              <w:rPr>
                <w:rFonts w:cs="Times New Roman"/>
              </w:rPr>
              <w:t>Theory of minimum quality standards</w:t>
            </w:r>
          </w:p>
          <w:p w14:paraId="03A2167E" w14:textId="5E7A1146" w:rsidR="00EC6A6E" w:rsidRPr="00055615" w:rsidRDefault="00055615" w:rsidP="00055615">
            <w:pPr>
              <w:rPr>
                <w:rFonts w:cs="Times New Roman"/>
              </w:rPr>
            </w:pPr>
            <w:r>
              <w:rPr>
                <w:rFonts w:cs="Times New Roman"/>
              </w:rPr>
              <w:t xml:space="preserve">4. </w:t>
            </w:r>
            <w:r w:rsidR="00B1774A" w:rsidRPr="00055615">
              <w:rPr>
                <w:rFonts w:cs="Times New Roman"/>
              </w:rPr>
              <w:t>Outline how uniform performance standards and testing protocols address stakeholder equities in safety-critical industries</w:t>
            </w:r>
          </w:p>
          <w:p w14:paraId="7C4596FE" w14:textId="66055B02" w:rsidR="00EC6A6E" w:rsidRPr="00055615" w:rsidRDefault="00055615" w:rsidP="00055615">
            <w:pPr>
              <w:rPr>
                <w:rFonts w:cs="Times New Roman"/>
              </w:rPr>
            </w:pPr>
            <w:r>
              <w:rPr>
                <w:rFonts w:cs="Times New Roman"/>
              </w:rPr>
              <w:t xml:space="preserve">5. </w:t>
            </w:r>
            <w:r w:rsidR="00B1774A" w:rsidRPr="00055615">
              <w:rPr>
                <w:rFonts w:cs="Times New Roman"/>
              </w:rPr>
              <w:t>Highlight the role of standards in a Conformity Assessment Program for use in a safety-critical industry</w:t>
            </w:r>
          </w:p>
          <w:p w14:paraId="49466C4E" w14:textId="50D7EC60" w:rsidR="00E34692" w:rsidRPr="00055615" w:rsidRDefault="00055615" w:rsidP="00055615">
            <w:pPr>
              <w:rPr>
                <w:rFonts w:cs="Times New Roman"/>
              </w:rPr>
            </w:pPr>
            <w:r>
              <w:rPr>
                <w:rFonts w:cs="Times New Roman"/>
              </w:rPr>
              <w:t xml:space="preserve">6.  </w:t>
            </w:r>
            <w:r w:rsidR="00173386">
              <w:rPr>
                <w:rFonts w:cs="Times New Roman"/>
              </w:rPr>
              <w:t>Recognize how an</w:t>
            </w:r>
            <w:r w:rsidR="00B1774A" w:rsidRPr="00055615">
              <w:rPr>
                <w:rFonts w:cs="Times New Roman"/>
              </w:rPr>
              <w:t xml:space="preserve"> industry</w:t>
            </w:r>
            <w:r w:rsidR="00173386">
              <w:rPr>
                <w:rFonts w:cs="Times New Roman"/>
              </w:rPr>
              <w:t>’s</w:t>
            </w:r>
            <w:r w:rsidR="00B1774A" w:rsidRPr="00055615">
              <w:rPr>
                <w:rFonts w:cs="Times New Roman"/>
              </w:rPr>
              <w:t xml:space="preserve"> characteristics </w:t>
            </w:r>
            <w:r w:rsidR="006144CB">
              <w:rPr>
                <w:rFonts w:cs="Times New Roman"/>
              </w:rPr>
              <w:t>can influence</w:t>
            </w:r>
            <w:r w:rsidR="00173386">
              <w:rPr>
                <w:rFonts w:cs="Times New Roman"/>
              </w:rPr>
              <w:t xml:space="preserve"> </w:t>
            </w:r>
            <w:r w:rsidR="00B1774A" w:rsidRPr="00055615">
              <w:rPr>
                <w:rFonts w:cs="Times New Roman"/>
              </w:rPr>
              <w:t xml:space="preserve">the culture and focus of aligned ASTM Technical Committees </w:t>
            </w:r>
          </w:p>
        </w:tc>
      </w:tr>
    </w:tbl>
    <w:p w14:paraId="08A6BE25" w14:textId="77777777" w:rsidR="00494E80" w:rsidRDefault="00494E80">
      <w:pPr>
        <w:rPr>
          <w:rFonts w:cs="Times New Roman"/>
        </w:rPr>
      </w:pPr>
    </w:p>
    <w:tbl>
      <w:tblPr>
        <w:tblStyle w:val="TableGrid"/>
        <w:tblW w:w="9625" w:type="dxa"/>
        <w:tblLook w:val="04A0" w:firstRow="1" w:lastRow="0" w:firstColumn="1" w:lastColumn="0" w:noHBand="0" w:noVBand="1"/>
      </w:tblPr>
      <w:tblGrid>
        <w:gridCol w:w="9625"/>
      </w:tblGrid>
      <w:tr w:rsidR="00592908" w:rsidRPr="00D64339" w14:paraId="6FFDAA1B" w14:textId="77777777" w:rsidTr="05F42C9F">
        <w:trPr>
          <w:trHeight w:val="404"/>
        </w:trPr>
        <w:tc>
          <w:tcPr>
            <w:tcW w:w="9625" w:type="dxa"/>
            <w:shd w:val="clear" w:color="auto" w:fill="F2F2F2" w:themeFill="background1" w:themeFillShade="F2"/>
            <w:vAlign w:val="center"/>
          </w:tcPr>
          <w:p w14:paraId="49D0F2C1" w14:textId="348A720D" w:rsidR="007760B8" w:rsidRPr="00D64339" w:rsidRDefault="007760B8" w:rsidP="007760B8">
            <w:pPr>
              <w:jc w:val="center"/>
              <w:rPr>
                <w:rFonts w:cs="Times New Roman"/>
                <w:b/>
                <w:bCs/>
              </w:rPr>
            </w:pPr>
            <w:r>
              <w:rPr>
                <w:rFonts w:cs="Times New Roman"/>
                <w:b/>
                <w:bCs/>
              </w:rPr>
              <w:t>CONCEPT</w:t>
            </w:r>
            <w:r w:rsidR="00592908">
              <w:rPr>
                <w:rFonts w:cs="Times New Roman"/>
                <w:b/>
                <w:bCs/>
              </w:rPr>
              <w:t>S</w:t>
            </w:r>
          </w:p>
        </w:tc>
      </w:tr>
      <w:tr w:rsidR="00592908" w:rsidRPr="00D64339" w14:paraId="39ADBD50" w14:textId="77777777" w:rsidTr="05F42C9F">
        <w:trPr>
          <w:trHeight w:val="432"/>
        </w:trPr>
        <w:tc>
          <w:tcPr>
            <w:tcW w:w="9625" w:type="dxa"/>
            <w:vAlign w:val="center"/>
          </w:tcPr>
          <w:p w14:paraId="0BCAFDDF" w14:textId="29A7790B" w:rsidR="00B148D8" w:rsidRDefault="00B148D8" w:rsidP="00B148D8">
            <w:pPr>
              <w:jc w:val="left"/>
              <w:rPr>
                <w:rFonts w:cs="Times New Roman"/>
              </w:rPr>
            </w:pPr>
            <w:r w:rsidRPr="00B148D8">
              <w:rPr>
                <w:rFonts w:cs="Times New Roman"/>
                <w:b/>
              </w:rPr>
              <w:t>1.</w:t>
            </w:r>
            <w:r>
              <w:rPr>
                <w:rFonts w:cs="Times New Roman"/>
                <w:b/>
              </w:rPr>
              <w:t xml:space="preserve">  </w:t>
            </w:r>
            <w:r w:rsidR="004E6DC5">
              <w:rPr>
                <w:rFonts w:cs="Times New Roman"/>
                <w:b/>
              </w:rPr>
              <w:t xml:space="preserve">Diffusion of Innovation Theory and </w:t>
            </w:r>
            <w:r w:rsidR="00592908" w:rsidRPr="00B148D8">
              <w:rPr>
                <w:rFonts w:cs="Times New Roman"/>
                <w:b/>
              </w:rPr>
              <w:t>Technology Acceptance Models</w:t>
            </w:r>
            <w:r w:rsidR="00247AC7" w:rsidRPr="00B148D8">
              <w:rPr>
                <w:rFonts w:cs="Times New Roman"/>
                <w:b/>
              </w:rPr>
              <w:t xml:space="preserve">: </w:t>
            </w:r>
            <w:r w:rsidR="00C81FB9" w:rsidRPr="00B148D8">
              <w:rPr>
                <w:rFonts w:cs="Times New Roman"/>
              </w:rPr>
              <w:t>The technology acceptance model (TAM) is an information systems theory that explains how to enco</w:t>
            </w:r>
            <w:r w:rsidR="00505583" w:rsidRPr="00B148D8">
              <w:rPr>
                <w:rFonts w:cs="Times New Roman"/>
              </w:rPr>
              <w:t>urage users to accept and utiliz</w:t>
            </w:r>
            <w:r w:rsidR="00C81FB9" w:rsidRPr="00B148D8">
              <w:rPr>
                <w:rFonts w:cs="Times New Roman"/>
              </w:rPr>
              <w:t>e new technology (Davis, 1989).</w:t>
            </w:r>
            <w:r w:rsidR="00505583" w:rsidRPr="00B148D8">
              <w:rPr>
                <w:rFonts w:cs="Times New Roman"/>
              </w:rPr>
              <w:t xml:space="preserve"> Research over the years</w:t>
            </w:r>
            <w:r w:rsidR="00E37CDB" w:rsidRPr="00B148D8">
              <w:rPr>
                <w:rFonts w:cs="Times New Roman"/>
              </w:rPr>
              <w:t xml:space="preserve"> has expanded this </w:t>
            </w:r>
            <w:r w:rsidR="00E37CDB" w:rsidRPr="00B148D8">
              <w:rPr>
                <w:rFonts w:cs="Times New Roman"/>
              </w:rPr>
              <w:lastRenderedPageBreak/>
              <w:t>concept significantly by demonstrating how</w:t>
            </w:r>
            <w:r w:rsidR="00490F21" w:rsidRPr="00B148D8">
              <w:rPr>
                <w:rFonts w:cs="Times New Roman"/>
              </w:rPr>
              <w:t xml:space="preserve"> the</w:t>
            </w:r>
            <w:r w:rsidR="00E37CDB" w:rsidRPr="00B148D8">
              <w:rPr>
                <w:rFonts w:cs="Times New Roman"/>
              </w:rPr>
              <w:t xml:space="preserve"> stakeholders</w:t>
            </w:r>
            <w:r w:rsidR="00490F21" w:rsidRPr="00B148D8">
              <w:rPr>
                <w:rFonts w:cs="Times New Roman"/>
              </w:rPr>
              <w:t xml:space="preserve"> in different industries prioritize certain characteristics and drivers and their respective impact on the TAM.</w:t>
            </w:r>
            <w:r w:rsidR="00781B10">
              <w:rPr>
                <w:rFonts w:cs="Times New Roman"/>
              </w:rPr>
              <w:t xml:space="preserve"> </w:t>
            </w:r>
            <w:r w:rsidR="006B56C4">
              <w:rPr>
                <w:rFonts w:cs="Times New Roman"/>
              </w:rPr>
              <w:t xml:space="preserve">The instructor can introduce the TAM </w:t>
            </w:r>
            <w:r w:rsidR="00C0250B">
              <w:rPr>
                <w:rFonts w:cs="Times New Roman"/>
              </w:rPr>
              <w:t xml:space="preserve">concept </w:t>
            </w:r>
            <w:r w:rsidR="006B56C4">
              <w:rPr>
                <w:rFonts w:cs="Times New Roman"/>
              </w:rPr>
              <w:t xml:space="preserve">and highlight how that model can change depending on the nature and characteristics of the industry. </w:t>
            </w:r>
            <w:r w:rsidR="00781B10">
              <w:rPr>
                <w:rFonts w:cs="Times New Roman"/>
              </w:rPr>
              <w:t>For example, safety-critical industries have</w:t>
            </w:r>
            <w:r w:rsidR="006B56C4">
              <w:rPr>
                <w:rFonts w:cs="Times New Roman"/>
              </w:rPr>
              <w:t xml:space="preserve"> </w:t>
            </w:r>
            <w:r w:rsidR="00726D84">
              <w:rPr>
                <w:rFonts w:cs="Times New Roman"/>
              </w:rPr>
              <w:t xml:space="preserve">a TAM that incorporates </w:t>
            </w:r>
            <w:r w:rsidR="00C0250B">
              <w:rPr>
                <w:rFonts w:cs="Times New Roman"/>
              </w:rPr>
              <w:t xml:space="preserve">and emphasizes key elements such as </w:t>
            </w:r>
            <w:r w:rsidR="00726D84">
              <w:rPr>
                <w:rFonts w:cs="Times New Roman"/>
              </w:rPr>
              <w:t xml:space="preserve">trust, </w:t>
            </w:r>
            <w:r w:rsidR="00C0250B">
              <w:rPr>
                <w:rFonts w:cs="Times New Roman"/>
              </w:rPr>
              <w:t xml:space="preserve">safety </w:t>
            </w:r>
            <w:r w:rsidR="00726D84">
              <w:rPr>
                <w:rFonts w:cs="Times New Roman"/>
              </w:rPr>
              <w:t xml:space="preserve">validation, </w:t>
            </w:r>
            <w:r w:rsidR="00C0250B">
              <w:rPr>
                <w:rFonts w:cs="Times New Roman"/>
              </w:rPr>
              <w:t xml:space="preserve">and </w:t>
            </w:r>
            <w:r w:rsidR="00726D84">
              <w:rPr>
                <w:rFonts w:cs="Times New Roman"/>
              </w:rPr>
              <w:t>risk mitigation</w:t>
            </w:r>
            <w:r w:rsidR="00C0250B">
              <w:rPr>
                <w:rFonts w:cs="Times New Roman"/>
              </w:rPr>
              <w:t xml:space="preserve"> into the technology acceptance and diffusion calculus. T</w:t>
            </w:r>
            <w:r w:rsidR="007B43DC">
              <w:rPr>
                <w:rFonts w:cs="Times New Roman"/>
              </w:rPr>
              <w:t xml:space="preserve">he instructor can then highlight how those particular functions associated with standards (e.g.: test and measurement accuracy and validation) are prioritized. </w:t>
            </w:r>
          </w:p>
          <w:p w14:paraId="77AA0CE6" w14:textId="77777777" w:rsidR="00B148D8" w:rsidRPr="00B148D8" w:rsidRDefault="00B148D8" w:rsidP="00B148D8">
            <w:pPr>
              <w:jc w:val="left"/>
              <w:rPr>
                <w:rFonts w:cs="Times New Roman"/>
              </w:rPr>
            </w:pPr>
          </w:p>
          <w:p w14:paraId="21B5DBEA" w14:textId="7F3C66F8" w:rsidR="00B148D8" w:rsidRDefault="00592908" w:rsidP="00FF536F">
            <w:pPr>
              <w:widowControl w:val="0"/>
              <w:autoSpaceDE w:val="0"/>
              <w:autoSpaceDN w:val="0"/>
              <w:adjustRightInd w:val="0"/>
              <w:spacing w:after="240"/>
              <w:rPr>
                <w:lang w:eastAsia="en-CA"/>
              </w:rPr>
            </w:pPr>
            <w:r w:rsidRPr="00EB2342">
              <w:rPr>
                <w:rFonts w:cs="Times New Roman"/>
                <w:b/>
              </w:rPr>
              <w:t>2.  Information Asymmetry</w:t>
            </w:r>
            <w:r w:rsidR="00EB2342">
              <w:rPr>
                <w:rFonts w:cs="Times New Roman"/>
                <w:b/>
              </w:rPr>
              <w:t xml:space="preserve">: </w:t>
            </w:r>
            <w:r w:rsidR="00FF536F" w:rsidRPr="008705BB">
              <w:rPr>
                <w:szCs w:val="24"/>
                <w:lang w:eastAsia="en-CA"/>
              </w:rPr>
              <w:t>In his classic work, Akerlof introduced the concept of information asymmetry using the automobile market, comprised of a mix of bad cars (i.e.</w:t>
            </w:r>
            <w:r w:rsidR="00FF536F">
              <w:rPr>
                <w:szCs w:val="24"/>
                <w:lang w:eastAsia="en-CA"/>
              </w:rPr>
              <w:t>,</w:t>
            </w:r>
            <w:r w:rsidR="00FF536F" w:rsidRPr="008705BB">
              <w:rPr>
                <w:szCs w:val="24"/>
                <w:lang w:eastAsia="en-CA"/>
              </w:rPr>
              <w:t xml:space="preserve"> lemons) and good ones. </w:t>
            </w:r>
            <w:r w:rsidR="00FF536F">
              <w:rPr>
                <w:szCs w:val="24"/>
                <w:lang w:eastAsia="en-CA"/>
              </w:rPr>
              <w:t>H</w:t>
            </w:r>
            <w:r w:rsidR="00FF536F" w:rsidRPr="008705BB">
              <w:rPr>
                <w:szCs w:val="24"/>
                <w:lang w:eastAsia="en-CA"/>
              </w:rPr>
              <w:t>e demonstrated that at the onset, there is a disparity in the</w:t>
            </w:r>
            <w:r w:rsidR="00FF536F">
              <w:rPr>
                <w:szCs w:val="24"/>
                <w:lang w:eastAsia="en-CA"/>
              </w:rPr>
              <w:t xml:space="preserve"> level of information between buyer and seller that </w:t>
            </w:r>
            <w:r w:rsidR="00FF536F" w:rsidRPr="008705BB">
              <w:rPr>
                <w:szCs w:val="24"/>
                <w:lang w:eastAsia="en-CA"/>
              </w:rPr>
              <w:t xml:space="preserve">has a tendency to cause a negative anomaly in the overall market. In essence, </w:t>
            </w:r>
            <w:r w:rsidR="00FF536F">
              <w:rPr>
                <w:lang w:eastAsia="en-CA"/>
              </w:rPr>
              <w:t>a</w:t>
            </w:r>
            <w:r w:rsidR="00FF536F" w:rsidRPr="008705BB">
              <w:rPr>
                <w:lang w:eastAsia="en-CA"/>
              </w:rPr>
              <w:t>n asymmetry in available information has developed</w:t>
            </w:r>
            <w:r w:rsidR="00FF536F">
              <w:rPr>
                <w:lang w:eastAsia="en-CA"/>
              </w:rPr>
              <w:t xml:space="preserve"> (Akerlof, 1970)</w:t>
            </w:r>
            <w:r w:rsidR="00FF536F" w:rsidRPr="008705BB">
              <w:rPr>
                <w:lang w:eastAsia="en-CA"/>
              </w:rPr>
              <w:t xml:space="preserve">. </w:t>
            </w:r>
            <w:r w:rsidR="00FF536F">
              <w:rPr>
                <w:lang w:eastAsia="en-CA"/>
              </w:rPr>
              <w:t xml:space="preserve">This information asymmetry increases uncertainty, and potentially risk, by the stakeholders, and can serve as an obstacle to the transfer of goods and/or technology. Using economic utility functions, </w:t>
            </w:r>
            <w:r w:rsidR="00FF536F" w:rsidRPr="00402A7B">
              <w:rPr>
                <w:lang w:eastAsia="en-CA"/>
              </w:rPr>
              <w:t>Akerlof went further to mathematically prove</w:t>
            </w:r>
            <w:r w:rsidR="00FF536F">
              <w:rPr>
                <w:lang w:eastAsia="en-CA"/>
              </w:rPr>
              <w:t xml:space="preserve"> </w:t>
            </w:r>
            <w:r w:rsidR="00FF536F" w:rsidRPr="00402A7B">
              <w:rPr>
                <w:lang w:eastAsia="en-CA"/>
              </w:rPr>
              <w:t xml:space="preserve">that markets characterized by symmetric information </w:t>
            </w:r>
            <w:r w:rsidR="00FF536F">
              <w:rPr>
                <w:lang w:eastAsia="en-CA"/>
              </w:rPr>
              <w:t xml:space="preserve">have the exact opposite effect, </w:t>
            </w:r>
            <w:r w:rsidR="00FF536F" w:rsidRPr="00402A7B">
              <w:rPr>
                <w:lang w:eastAsia="en-CA"/>
              </w:rPr>
              <w:t>signifi</w:t>
            </w:r>
            <w:r w:rsidR="00FF536F">
              <w:rPr>
                <w:lang w:eastAsia="en-CA"/>
              </w:rPr>
              <w:t>cantly mitigating</w:t>
            </w:r>
            <w:r w:rsidR="00FF536F" w:rsidRPr="00402A7B">
              <w:rPr>
                <w:lang w:eastAsia="en-CA"/>
              </w:rPr>
              <w:t xml:space="preserve"> the uncertainty </w:t>
            </w:r>
            <w:r w:rsidR="00FF536F">
              <w:rPr>
                <w:lang w:eastAsia="en-CA"/>
              </w:rPr>
              <w:t xml:space="preserve">among the stakeholders. </w:t>
            </w:r>
            <w:r w:rsidR="00FF536F" w:rsidRPr="00402A7B">
              <w:rPr>
                <w:lang w:eastAsia="en-CA"/>
              </w:rPr>
              <w:t xml:space="preserve">He further proffered the use of certain “counteracting institutions” such as licensing </w:t>
            </w:r>
            <w:r w:rsidR="00FF536F">
              <w:rPr>
                <w:lang w:eastAsia="en-CA"/>
              </w:rPr>
              <w:t xml:space="preserve">and standards </w:t>
            </w:r>
            <w:r w:rsidR="00FF536F" w:rsidRPr="00402A7B">
              <w:rPr>
                <w:lang w:eastAsia="en-CA"/>
              </w:rPr>
              <w:t>to formally address the challenge.</w:t>
            </w:r>
            <w:r w:rsidR="007B43DC">
              <w:rPr>
                <w:lang w:eastAsia="en-CA"/>
              </w:rPr>
              <w:t xml:space="preserve"> The instructor can provide a simple computational example that demonstrates the negative effects of information asymmetry in a market</w:t>
            </w:r>
            <w:r w:rsidR="001E61C4">
              <w:rPr>
                <w:lang w:eastAsia="en-CA"/>
              </w:rPr>
              <w:t>, and then have the students discuss how standards can create greater information symmetry followed by a simple computational example</w:t>
            </w:r>
            <w:r w:rsidR="00326483">
              <w:rPr>
                <w:lang w:eastAsia="en-CA"/>
              </w:rPr>
              <w:t xml:space="preserve"> that demonstrates how that symmetry makes an equilibrium more possible.</w:t>
            </w:r>
          </w:p>
          <w:p w14:paraId="6A6C3D3A" w14:textId="11112A15" w:rsidR="00FF536F" w:rsidRPr="005F377D" w:rsidRDefault="00FF536F" w:rsidP="00FF536F">
            <w:pPr>
              <w:widowControl w:val="0"/>
              <w:autoSpaceDE w:val="0"/>
              <w:autoSpaceDN w:val="0"/>
              <w:adjustRightInd w:val="0"/>
              <w:spacing w:after="240"/>
              <w:rPr>
                <w:lang w:eastAsia="en-CA"/>
              </w:rPr>
            </w:pPr>
            <w:r w:rsidRPr="00FF536F">
              <w:rPr>
                <w:b/>
                <w:lang w:eastAsia="en-CA"/>
              </w:rPr>
              <w:t>3. Theory of Minimum Quality Standards</w:t>
            </w:r>
            <w:r>
              <w:rPr>
                <w:b/>
                <w:lang w:eastAsia="en-CA"/>
              </w:rPr>
              <w:t xml:space="preserve">: </w:t>
            </w:r>
            <w:r w:rsidR="005F377D">
              <w:rPr>
                <w:lang w:eastAsia="en-CA"/>
              </w:rPr>
              <w:t xml:space="preserve">H.E. Leland </w:t>
            </w:r>
            <w:r w:rsidR="005F377D" w:rsidRPr="005F377D">
              <w:rPr>
                <w:lang w:eastAsia="en-CA"/>
              </w:rPr>
              <w:t>builds on Akerlof’s foundational work, and incorporates the impacts of setting minimum quality constraints as a way to mitigate information asymmetry. In his research, he ma</w:t>
            </w:r>
            <w:r w:rsidR="00924D2B">
              <w:rPr>
                <w:lang w:eastAsia="en-CA"/>
              </w:rPr>
              <w:t xml:space="preserve">thematically proves his theorem, specifically that </w:t>
            </w:r>
            <w:r w:rsidR="005F377D" w:rsidRPr="005F377D">
              <w:rPr>
                <w:lang w:eastAsia="en-CA"/>
              </w:rPr>
              <w:t xml:space="preserve">standards can have a positive effect on </w:t>
            </w:r>
            <w:r w:rsidR="00924D2B">
              <w:rPr>
                <w:lang w:eastAsia="en-CA"/>
              </w:rPr>
              <w:t xml:space="preserve">creating information symmetry, </w:t>
            </w:r>
            <w:r w:rsidR="005F377D" w:rsidRPr="005F377D">
              <w:rPr>
                <w:lang w:eastAsia="en-CA"/>
              </w:rPr>
              <w:t>therefore improving market equilibrium.</w:t>
            </w:r>
            <w:r w:rsidR="000F3E41">
              <w:rPr>
                <w:lang w:eastAsia="en-CA"/>
              </w:rPr>
              <w:t xml:space="preserve"> The instructor can couple this concept with </w:t>
            </w:r>
            <w:r w:rsidR="00F21549">
              <w:rPr>
                <w:lang w:eastAsia="en-CA"/>
              </w:rPr>
              <w:t>the Information Asymmetry concept as outlined above. The desired end state is that the students gain a deeper understanding, using theoretical concepts that are reinforced with computational examples, of how and why standards work, particularly in risk adverse environments where safety-critical industries operate.</w:t>
            </w:r>
            <w:r w:rsidR="000F3E41">
              <w:rPr>
                <w:lang w:eastAsia="en-CA"/>
              </w:rPr>
              <w:t xml:space="preserve"> </w:t>
            </w:r>
          </w:p>
          <w:p w14:paraId="302D7BC0" w14:textId="6D7F65D7" w:rsidR="00456671" w:rsidRDefault="00B148D8" w:rsidP="00A65D5B">
            <w:pPr>
              <w:jc w:val="left"/>
              <w:rPr>
                <w:rFonts w:cs="Times New Roman"/>
              </w:rPr>
            </w:pPr>
            <w:r w:rsidRPr="05F42C9F">
              <w:rPr>
                <w:rFonts w:cs="Times New Roman"/>
                <w:b/>
                <w:bCs/>
              </w:rPr>
              <w:t>4</w:t>
            </w:r>
            <w:r w:rsidR="139C1B12" w:rsidRPr="05F42C9F">
              <w:rPr>
                <w:rFonts w:cs="Times New Roman"/>
                <w:b/>
                <w:bCs/>
              </w:rPr>
              <w:t>. Institution</w:t>
            </w:r>
            <w:r w:rsidR="00F47548" w:rsidRPr="05F42C9F">
              <w:rPr>
                <w:rFonts w:cs="Times New Roman"/>
                <w:b/>
                <w:bCs/>
              </w:rPr>
              <w:t>-Based</w:t>
            </w:r>
            <w:r w:rsidR="00592908" w:rsidRPr="05F42C9F">
              <w:rPr>
                <w:rFonts w:cs="Times New Roman"/>
                <w:b/>
                <w:bCs/>
              </w:rPr>
              <w:t xml:space="preserve"> Trust Theory</w:t>
            </w:r>
            <w:r w:rsidR="00781B10" w:rsidRPr="05F42C9F">
              <w:rPr>
                <w:rFonts w:cs="Times New Roman"/>
                <w:b/>
                <w:bCs/>
              </w:rPr>
              <w:t>:</w:t>
            </w:r>
            <w:r w:rsidR="00F47548">
              <w:t xml:space="preserve"> </w:t>
            </w:r>
            <w:r w:rsidR="005164E0">
              <w:t>This concept p</w:t>
            </w:r>
            <w:r w:rsidR="00F47548" w:rsidRPr="05F42C9F">
              <w:rPr>
                <w:rFonts w:cs="Times New Roman"/>
              </w:rPr>
              <w:t>osits that “structural safeguards” provided by an institution can give the trustor the ability to mitigate risk associated with technology / product acceptance</w:t>
            </w:r>
            <w:r w:rsidR="005164E0" w:rsidRPr="05F42C9F">
              <w:rPr>
                <w:rFonts w:cs="Times New Roman"/>
              </w:rPr>
              <w:t>.</w:t>
            </w:r>
            <w:r w:rsidR="00F47548" w:rsidRPr="05F42C9F">
              <w:rPr>
                <w:rFonts w:cs="Times New Roman"/>
                <w:b/>
                <w:bCs/>
              </w:rPr>
              <w:t xml:space="preserve"> </w:t>
            </w:r>
            <w:r w:rsidR="002817B4" w:rsidRPr="05F42C9F">
              <w:rPr>
                <w:rFonts w:cs="Times New Roman"/>
              </w:rPr>
              <w:t>Legal norms and technical standards, industry associations, or quality certification systems are examples of institutional arrangements which</w:t>
            </w:r>
            <w:r w:rsidR="00781B10" w:rsidRPr="05F42C9F">
              <w:rPr>
                <w:rFonts w:cs="Times New Roman"/>
                <w:b/>
                <w:bCs/>
              </w:rPr>
              <w:t xml:space="preserve"> </w:t>
            </w:r>
            <w:r w:rsidR="005164E0" w:rsidRPr="05F42C9F">
              <w:rPr>
                <w:rFonts w:cs="Times New Roman"/>
              </w:rPr>
              <w:t xml:space="preserve">have the capacity to mitigate </w:t>
            </w:r>
            <w:r w:rsidR="00924D2B" w:rsidRPr="05F42C9F">
              <w:rPr>
                <w:rFonts w:cs="Times New Roman"/>
              </w:rPr>
              <w:t xml:space="preserve">stakeholder </w:t>
            </w:r>
            <w:r w:rsidR="005164E0" w:rsidRPr="05F42C9F">
              <w:rPr>
                <w:rFonts w:cs="Times New Roman"/>
              </w:rPr>
              <w:t>risk</w:t>
            </w:r>
            <w:r w:rsidR="00924D2B" w:rsidRPr="05F42C9F">
              <w:rPr>
                <w:rFonts w:cs="Times New Roman"/>
              </w:rPr>
              <w:t xml:space="preserve"> as long as the </w:t>
            </w:r>
            <w:r w:rsidR="00316C87" w:rsidRPr="05F42C9F">
              <w:rPr>
                <w:rFonts w:cs="Times New Roman"/>
              </w:rPr>
              <w:t>organization</w:t>
            </w:r>
            <w:r w:rsidR="00924D2B" w:rsidRPr="05F42C9F">
              <w:rPr>
                <w:rFonts w:cs="Times New Roman"/>
              </w:rPr>
              <w:t xml:space="preserve"> is </w:t>
            </w:r>
            <w:r w:rsidR="5EF257E8" w:rsidRPr="05F42C9F">
              <w:rPr>
                <w:rFonts w:cs="Times New Roman"/>
              </w:rPr>
              <w:t>trusted</w:t>
            </w:r>
            <w:r w:rsidR="00316C87" w:rsidRPr="05F42C9F">
              <w:rPr>
                <w:rFonts w:cs="Times New Roman"/>
              </w:rPr>
              <w:t xml:space="preserve">. The instructor can use this concept to stress the importance of </w:t>
            </w:r>
            <w:r w:rsidR="000D1446" w:rsidRPr="05F42C9F">
              <w:rPr>
                <w:rFonts w:cs="Times New Roman"/>
              </w:rPr>
              <w:t xml:space="preserve">any Standards Development Organization to maintain complete integrity in the consensus-based process and technical standards produced. </w:t>
            </w:r>
          </w:p>
          <w:p w14:paraId="09ED5557" w14:textId="3A42CFDF" w:rsidR="00592908" w:rsidRPr="00781B10" w:rsidRDefault="00924D2B" w:rsidP="00A65D5B">
            <w:pPr>
              <w:jc w:val="left"/>
              <w:rPr>
                <w:rFonts w:cs="Times New Roman"/>
                <w:b/>
              </w:rPr>
            </w:pPr>
            <w:r>
              <w:rPr>
                <w:rFonts w:cs="Times New Roman"/>
              </w:rPr>
              <w:t xml:space="preserve"> </w:t>
            </w:r>
            <w:r w:rsidR="005164E0">
              <w:rPr>
                <w:rFonts w:cs="Times New Roman"/>
                <w:b/>
              </w:rPr>
              <w:t xml:space="preserve"> </w:t>
            </w:r>
          </w:p>
          <w:p w14:paraId="47D7FD22" w14:textId="3C9D28A2" w:rsidR="00EB5D67" w:rsidRDefault="00DE5932" w:rsidP="009D577D">
            <w:pPr>
              <w:jc w:val="left"/>
              <w:rPr>
                <w:rFonts w:cs="Times New Roman"/>
              </w:rPr>
            </w:pPr>
            <w:r w:rsidRPr="00456671">
              <w:rPr>
                <w:rFonts w:cs="Times New Roman"/>
                <w:b/>
              </w:rPr>
              <w:t>5.  Conformity Assessment Program</w:t>
            </w:r>
            <w:r w:rsidR="00456671">
              <w:rPr>
                <w:rFonts w:cs="Times New Roman"/>
                <w:b/>
              </w:rPr>
              <w:t>:</w:t>
            </w:r>
            <w:r w:rsidR="009D577D">
              <w:rPr>
                <w:rFonts w:cs="Times New Roman"/>
                <w:b/>
              </w:rPr>
              <w:t xml:space="preserve"> </w:t>
            </w:r>
            <w:r w:rsidR="003D4223">
              <w:rPr>
                <w:rFonts w:cs="Times New Roman"/>
              </w:rPr>
              <w:t>As specifically outlined by the National Institute of Standards and Technology, c</w:t>
            </w:r>
            <w:r w:rsidR="009D577D" w:rsidRPr="009D577D">
              <w:rPr>
                <w:rFonts w:cs="Times New Roman"/>
              </w:rPr>
              <w:t>onformity assessment pro</w:t>
            </w:r>
            <w:r w:rsidR="003D4223">
              <w:rPr>
                <w:rFonts w:cs="Times New Roman"/>
              </w:rPr>
              <w:t>grams</w:t>
            </w:r>
            <w:r w:rsidR="009D577D" w:rsidRPr="009D577D">
              <w:rPr>
                <w:rFonts w:cs="Times New Roman"/>
              </w:rPr>
              <w:t xml:space="preserve"> provide a means of ensuring that the products, services, systems, persons, or bodies have certain required characteristics, and that these characteristics are consistent from product to product, service to service, system to system, </w:t>
            </w:r>
            <w:r w:rsidR="009D577D" w:rsidRPr="009D577D">
              <w:rPr>
                <w:rFonts w:cs="Times New Roman"/>
              </w:rPr>
              <w:lastRenderedPageBreak/>
              <w:t>etc. Conformity assessment can include: supplier's declaration of conformity, sampling and testing, inspection, certification, management system assessment and registration, the accreditation of the competence of those activities, and recognition of an accreditation program's capability.</w:t>
            </w:r>
            <w:r w:rsidR="00EB5D67">
              <w:rPr>
                <w:rFonts w:cs="Times New Roman"/>
              </w:rPr>
              <w:t xml:space="preserve"> </w:t>
            </w:r>
            <w:r w:rsidR="009D577D" w:rsidRPr="009D577D">
              <w:rPr>
                <w:rFonts w:cs="Times New Roman"/>
              </w:rPr>
              <w:t xml:space="preserve">Standards are interwoven into all aspects of these activities and can have a major impact on the outcome of a conformity assessment scheme or program. Conformity assessment activities form a vital link between standards (which define necessary characteristics or requirements) and the products themselves. </w:t>
            </w:r>
            <w:r w:rsidR="00EB5D67">
              <w:rPr>
                <w:rFonts w:cs="Times New Roman"/>
              </w:rPr>
              <w:t xml:space="preserve">The instructor can provide an example of a conformity assessment program and demonstrate how standards are intricately linked into the process. Moreover, the instructor can highlight that conformity assessment programs are common to safety-critical industries, and for certain SDO technical committees, the standards they develop form the basis of many of these programs. The instructor should also challenge the students to identify the pros and cons associated with such programs, and re-emphasize the importance of institutional-based trust theory in their successful implementation. </w:t>
            </w:r>
          </w:p>
          <w:p w14:paraId="0979A076" w14:textId="7E2E0DE5" w:rsidR="00DE5932" w:rsidRPr="009D577D" w:rsidRDefault="00EB5D67" w:rsidP="009D577D">
            <w:pPr>
              <w:jc w:val="left"/>
              <w:rPr>
                <w:rFonts w:cs="Times New Roman"/>
              </w:rPr>
            </w:pPr>
            <w:r>
              <w:rPr>
                <w:rFonts w:cs="Times New Roman"/>
              </w:rPr>
              <w:t xml:space="preserve"> </w:t>
            </w:r>
          </w:p>
          <w:p w14:paraId="20EE09C6" w14:textId="549072E8" w:rsidR="00DE5932" w:rsidRPr="00EB5D67" w:rsidRDefault="00A81409" w:rsidP="05F42C9F">
            <w:pPr>
              <w:jc w:val="left"/>
              <w:rPr>
                <w:rFonts w:cs="Times New Roman"/>
                <w:b/>
                <w:bCs/>
              </w:rPr>
            </w:pPr>
            <w:r w:rsidRPr="05F42C9F">
              <w:rPr>
                <w:rFonts w:cs="Times New Roman"/>
                <w:b/>
                <w:bCs/>
              </w:rPr>
              <w:t>6</w:t>
            </w:r>
            <w:r w:rsidR="08A795E0" w:rsidRPr="05F42C9F">
              <w:rPr>
                <w:rFonts w:cs="Times New Roman"/>
                <w:b/>
                <w:bCs/>
              </w:rPr>
              <w:t>. Factors</w:t>
            </w:r>
            <w:r w:rsidR="00DE5932" w:rsidRPr="05F42C9F">
              <w:rPr>
                <w:rFonts w:cs="Times New Roman"/>
                <w:b/>
                <w:bCs/>
              </w:rPr>
              <w:t xml:space="preserve"> Impact</w:t>
            </w:r>
            <w:r w:rsidR="001C2FBD" w:rsidRPr="05F42C9F">
              <w:rPr>
                <w:rFonts w:cs="Times New Roman"/>
                <w:b/>
                <w:bCs/>
              </w:rPr>
              <w:t>ing</w:t>
            </w:r>
            <w:r w:rsidR="00DE5932" w:rsidRPr="05F42C9F">
              <w:rPr>
                <w:rFonts w:cs="Times New Roman"/>
                <w:b/>
                <w:bCs/>
              </w:rPr>
              <w:t xml:space="preserve"> Organizational Culture</w:t>
            </w:r>
            <w:r w:rsidR="00EB5D67" w:rsidRPr="05F42C9F">
              <w:rPr>
                <w:rFonts w:cs="Times New Roman"/>
                <w:b/>
                <w:bCs/>
              </w:rPr>
              <w:t>:</w:t>
            </w:r>
            <w:r w:rsidR="001C2FBD" w:rsidRPr="05F42C9F">
              <w:rPr>
                <w:rFonts w:cs="Times New Roman"/>
                <w:b/>
                <w:bCs/>
              </w:rPr>
              <w:t xml:space="preserve"> </w:t>
            </w:r>
            <w:r w:rsidRPr="05F42C9F">
              <w:rPr>
                <w:rFonts w:cs="Times New Roman"/>
              </w:rPr>
              <w:t>The intent is for the instructor to highlight how the specific characteristics and nature of a given industry can influence the organizational culture of a</w:t>
            </w:r>
            <w:r w:rsidR="00C1502E" w:rsidRPr="05F42C9F">
              <w:rPr>
                <w:rFonts w:cs="Times New Roman"/>
              </w:rPr>
              <w:t>n aligned</w:t>
            </w:r>
            <w:r w:rsidRPr="05F42C9F">
              <w:rPr>
                <w:rFonts w:cs="Times New Roman"/>
              </w:rPr>
              <w:t xml:space="preserve"> SDO Technical Committee. </w:t>
            </w:r>
            <w:r w:rsidR="00C1502E" w:rsidRPr="05F42C9F">
              <w:rPr>
                <w:rFonts w:cs="Times New Roman"/>
              </w:rPr>
              <w:t xml:space="preserve">In other words, it is not uncommon for an ASTM Technical Committee to adopt a very similar cultural approach to standards development as the industry it serves. </w:t>
            </w:r>
            <w:r w:rsidR="00F34860" w:rsidRPr="05F42C9F">
              <w:rPr>
                <w:rFonts w:cs="Times New Roman"/>
              </w:rPr>
              <w:t>E</w:t>
            </w:r>
            <w:r w:rsidR="00C1502E" w:rsidRPr="05F42C9F">
              <w:rPr>
                <w:rFonts w:cs="Times New Roman"/>
              </w:rPr>
              <w:t>xample</w:t>
            </w:r>
            <w:r w:rsidR="00F34860" w:rsidRPr="05F42C9F">
              <w:rPr>
                <w:rFonts w:cs="Times New Roman"/>
              </w:rPr>
              <w:t>s</w:t>
            </w:r>
            <w:r w:rsidR="00C1502E" w:rsidRPr="05F42C9F">
              <w:rPr>
                <w:rFonts w:cs="Times New Roman"/>
              </w:rPr>
              <w:t xml:space="preserve"> </w:t>
            </w:r>
            <w:r w:rsidR="00F34860" w:rsidRPr="05F42C9F">
              <w:rPr>
                <w:rFonts w:cs="Times New Roman"/>
              </w:rPr>
              <w:t>include</w:t>
            </w:r>
            <w:r w:rsidR="00C1502E" w:rsidRPr="05F42C9F">
              <w:rPr>
                <w:rFonts w:cs="Times New Roman"/>
              </w:rPr>
              <w:t xml:space="preserve"> </w:t>
            </w:r>
            <w:r w:rsidR="00C3111E" w:rsidRPr="05F42C9F">
              <w:rPr>
                <w:rFonts w:cs="Times New Roman"/>
              </w:rPr>
              <w:t>the ASTM E10 Committee on Nuclear Technology and Applications</w:t>
            </w:r>
            <w:r w:rsidR="00F34860" w:rsidRPr="05F42C9F">
              <w:rPr>
                <w:rFonts w:cs="Times New Roman"/>
              </w:rPr>
              <w:t xml:space="preserve"> and the ASTM Committee D33 on Protective Coatings for Power Generation Facilities.</w:t>
            </w:r>
            <w:r w:rsidR="00C3111E" w:rsidRPr="05F42C9F">
              <w:rPr>
                <w:rFonts w:cs="Times New Roman"/>
              </w:rPr>
              <w:t xml:space="preserve"> </w:t>
            </w:r>
            <w:r w:rsidR="00773AE2" w:rsidRPr="05F42C9F">
              <w:rPr>
                <w:rFonts w:cs="Times New Roman"/>
              </w:rPr>
              <w:t xml:space="preserve">Many of the standards developed in these committees are safety-focused because they serve safety-critical industries. </w:t>
            </w:r>
            <w:r w:rsidR="00C1502E" w:rsidRPr="05F42C9F">
              <w:rPr>
                <w:rFonts w:cs="Times New Roman"/>
              </w:rPr>
              <w:t>The end state is for the student</w:t>
            </w:r>
            <w:r w:rsidR="00773AE2" w:rsidRPr="05F42C9F">
              <w:rPr>
                <w:rFonts w:cs="Times New Roman"/>
              </w:rPr>
              <w:t xml:space="preserve">s to become more culturally aware and </w:t>
            </w:r>
            <w:r w:rsidR="004511ED" w:rsidRPr="05F42C9F">
              <w:rPr>
                <w:rFonts w:cs="Times New Roman"/>
              </w:rPr>
              <w:t>begin to</w:t>
            </w:r>
            <w:r w:rsidR="00C1502E" w:rsidRPr="05F42C9F">
              <w:rPr>
                <w:rFonts w:cs="Times New Roman"/>
              </w:rPr>
              <w:t xml:space="preserve"> learn to identify and weight certain external factors that impact culture</w:t>
            </w:r>
            <w:r w:rsidR="004511ED" w:rsidRPr="05F42C9F">
              <w:rPr>
                <w:rFonts w:cs="Times New Roman"/>
              </w:rPr>
              <w:t>. This introduction by the instructor is also intended to set up the next module on “Leveraging Cross Cultural Competence to Successfully Navigate the Consensus-based Standards Development Process”.</w:t>
            </w:r>
          </w:p>
          <w:p w14:paraId="46014480" w14:textId="77777777" w:rsidR="00592908" w:rsidRDefault="00592908" w:rsidP="00A65D5B">
            <w:pPr>
              <w:jc w:val="left"/>
              <w:rPr>
                <w:rFonts w:cs="Times New Roman"/>
              </w:rPr>
            </w:pPr>
          </w:p>
        </w:tc>
      </w:tr>
    </w:tbl>
    <w:p w14:paraId="28B825F2" w14:textId="77777777" w:rsidR="007760B8" w:rsidRDefault="007760B8">
      <w:pPr>
        <w:rPr>
          <w:rFonts w:cs="Times New Roman"/>
        </w:rPr>
      </w:pPr>
    </w:p>
    <w:tbl>
      <w:tblPr>
        <w:tblStyle w:val="TableGrid"/>
        <w:tblW w:w="9625" w:type="dxa"/>
        <w:tblLook w:val="04A0" w:firstRow="1" w:lastRow="0" w:firstColumn="1" w:lastColumn="0" w:noHBand="0" w:noVBand="1"/>
      </w:tblPr>
      <w:tblGrid>
        <w:gridCol w:w="9625"/>
      </w:tblGrid>
      <w:tr w:rsidR="00DF36FD" w:rsidRPr="00D64339" w14:paraId="4B1C28AE" w14:textId="77777777" w:rsidTr="00DF36FD">
        <w:trPr>
          <w:trHeight w:val="404"/>
        </w:trPr>
        <w:tc>
          <w:tcPr>
            <w:tcW w:w="9625" w:type="dxa"/>
            <w:shd w:val="clear" w:color="auto" w:fill="F2F2F2"/>
            <w:vAlign w:val="center"/>
          </w:tcPr>
          <w:p w14:paraId="14F30BE6" w14:textId="0936E266" w:rsidR="00DF36FD" w:rsidRPr="00D64339" w:rsidRDefault="00DF36FD" w:rsidP="00D3131E">
            <w:pPr>
              <w:jc w:val="center"/>
              <w:rPr>
                <w:rFonts w:cs="Times New Roman"/>
                <w:b/>
                <w:bCs/>
              </w:rPr>
            </w:pPr>
            <w:r>
              <w:rPr>
                <w:rFonts w:cs="Times New Roman"/>
                <w:b/>
                <w:bCs/>
              </w:rPr>
              <w:t>RESOURCES, REFERENCES, AND MATERIALS</w:t>
            </w:r>
          </w:p>
        </w:tc>
      </w:tr>
      <w:tr w:rsidR="00DF36FD" w:rsidRPr="00D64339" w14:paraId="179F6734" w14:textId="77777777" w:rsidTr="00DF36FD">
        <w:trPr>
          <w:trHeight w:val="432"/>
        </w:trPr>
        <w:tc>
          <w:tcPr>
            <w:tcW w:w="9625" w:type="dxa"/>
            <w:vAlign w:val="center"/>
          </w:tcPr>
          <w:p w14:paraId="6DBD77A0" w14:textId="121EAA8E" w:rsidR="009F06BC" w:rsidRPr="009F06BC" w:rsidRDefault="009F06BC" w:rsidP="009F06BC">
            <w:pPr>
              <w:jc w:val="left"/>
              <w:rPr>
                <w:rFonts w:cs="Times New Roman"/>
              </w:rPr>
            </w:pPr>
            <w:r w:rsidRPr="009F06BC">
              <w:rPr>
                <w:rFonts w:cs="Times New Roman"/>
              </w:rPr>
              <w:t>1.</w:t>
            </w:r>
            <w:r>
              <w:rPr>
                <w:rFonts w:cs="Times New Roman"/>
              </w:rPr>
              <w:t xml:space="preserve"> FIU Student Chapter Module 2 Presentation </w:t>
            </w:r>
          </w:p>
          <w:p w14:paraId="09B6588F" w14:textId="1FF4AC0A" w:rsidR="009F06BC" w:rsidRPr="009F06BC" w:rsidRDefault="009F06BC" w:rsidP="009F06BC">
            <w:pPr>
              <w:jc w:val="left"/>
              <w:rPr>
                <w:rFonts w:cs="Times New Roman"/>
              </w:rPr>
            </w:pPr>
            <w:r>
              <w:rPr>
                <w:rFonts w:cs="Times New Roman"/>
              </w:rPr>
              <w:t xml:space="preserve">2. </w:t>
            </w:r>
            <w:r w:rsidRPr="009F06BC">
              <w:rPr>
                <w:rFonts w:cs="Times New Roman"/>
              </w:rPr>
              <w:t xml:space="preserve">World Trade Organization, 2011. Decisions and Recommendations Adopted by The WTO Committee on Technical Barriers to Trade since 1 January 1995. </w:t>
            </w:r>
          </w:p>
          <w:p w14:paraId="337010F6" w14:textId="587722E5" w:rsidR="009F06BC" w:rsidRPr="009F06BC" w:rsidRDefault="009F06BC" w:rsidP="009F06BC">
            <w:pPr>
              <w:jc w:val="left"/>
              <w:rPr>
                <w:rFonts w:cs="Times New Roman"/>
              </w:rPr>
            </w:pPr>
            <w:r>
              <w:rPr>
                <w:rFonts w:cs="Times New Roman"/>
              </w:rPr>
              <w:t xml:space="preserve">3. </w:t>
            </w:r>
            <w:r w:rsidRPr="009F06BC">
              <w:rPr>
                <w:rFonts w:cs="Times New Roman"/>
              </w:rPr>
              <w:t xml:space="preserve">Gupta, A.K., Lad, L.J., 1983. Industry self-regulation: an economic, organizational, and political analysis. Academy of Management Journal, Rev. 8, 416–425. </w:t>
            </w:r>
          </w:p>
          <w:p w14:paraId="6D476AE2" w14:textId="2E8249BC" w:rsidR="009F06BC" w:rsidRPr="009F06BC" w:rsidRDefault="009F06BC" w:rsidP="009F06BC">
            <w:pPr>
              <w:jc w:val="left"/>
              <w:rPr>
                <w:rFonts w:cs="Times New Roman"/>
              </w:rPr>
            </w:pPr>
            <w:r>
              <w:rPr>
                <w:rFonts w:cs="Times New Roman"/>
              </w:rPr>
              <w:t xml:space="preserve">4. </w:t>
            </w:r>
            <w:r w:rsidRPr="009F06BC">
              <w:rPr>
                <w:rFonts w:cs="Times New Roman"/>
              </w:rPr>
              <w:t xml:space="preserve">GAO report, DOE’s Program to Develop New Technologies for Environmental Cleanup, Statement by Victor S. Rezendes, Director, Energy, Resources, and Science Issues, Resources, Community, and Economic Development Division, May 1997. </w:t>
            </w:r>
          </w:p>
          <w:p w14:paraId="67DC3ECF" w14:textId="36034AFE" w:rsidR="009F06BC" w:rsidRPr="009F06BC" w:rsidRDefault="009F06BC" w:rsidP="009F06BC">
            <w:pPr>
              <w:jc w:val="left"/>
              <w:rPr>
                <w:rFonts w:cs="Times New Roman"/>
              </w:rPr>
            </w:pPr>
            <w:r>
              <w:rPr>
                <w:rFonts w:cs="Times New Roman"/>
              </w:rPr>
              <w:t xml:space="preserve">5. </w:t>
            </w:r>
            <w:r w:rsidRPr="009F06BC">
              <w:rPr>
                <w:rFonts w:cs="Times New Roman"/>
              </w:rPr>
              <w:t xml:space="preserve">Akerlof, G.A., 1970. The market for lemons: quality uncertainty and the market mechanism. The Quarterly Journal of Economics, MIT Press, 488–500. </w:t>
            </w:r>
          </w:p>
          <w:p w14:paraId="07627BD2" w14:textId="5546D0A8" w:rsidR="009F06BC" w:rsidRPr="009F06BC" w:rsidRDefault="009F06BC" w:rsidP="009F06BC">
            <w:pPr>
              <w:jc w:val="left"/>
              <w:rPr>
                <w:rFonts w:cs="Times New Roman"/>
              </w:rPr>
            </w:pPr>
            <w:r>
              <w:rPr>
                <w:rFonts w:cs="Times New Roman"/>
              </w:rPr>
              <w:t xml:space="preserve">6. </w:t>
            </w:r>
            <w:r w:rsidRPr="009F06BC">
              <w:rPr>
                <w:rFonts w:cs="Times New Roman"/>
              </w:rPr>
              <w:t xml:space="preserve">Leland, H. E., 1979. Quacks, lemons, and licensing: A theory of minimum quality standards; The Journal of Political Economy 87(6):1328–1346. </w:t>
            </w:r>
          </w:p>
          <w:p w14:paraId="6834DAFD" w14:textId="76E89169" w:rsidR="009F06BC" w:rsidRPr="009F06BC" w:rsidRDefault="00D94AFD" w:rsidP="009F06BC">
            <w:pPr>
              <w:jc w:val="left"/>
              <w:rPr>
                <w:rFonts w:cs="Times New Roman"/>
              </w:rPr>
            </w:pPr>
            <w:r>
              <w:rPr>
                <w:rFonts w:cs="Times New Roman"/>
              </w:rPr>
              <w:t xml:space="preserve">7. </w:t>
            </w:r>
            <w:r w:rsidR="009F06BC" w:rsidRPr="009F06BC">
              <w:rPr>
                <w:rFonts w:cs="Times New Roman"/>
              </w:rPr>
              <w:t>Blind, K., Petersen, S. Riillo, C.., “The impact of standards and regulation on innovation in uncertain markets.”, Research Policy, 2017.</w:t>
            </w:r>
          </w:p>
          <w:p w14:paraId="4EC2027D" w14:textId="50595987" w:rsidR="009F06BC" w:rsidRPr="009F06BC" w:rsidRDefault="00D94AFD" w:rsidP="009F06BC">
            <w:pPr>
              <w:jc w:val="left"/>
              <w:rPr>
                <w:rFonts w:cs="Times New Roman"/>
              </w:rPr>
            </w:pPr>
            <w:r>
              <w:rPr>
                <w:rFonts w:cs="Times New Roman"/>
              </w:rPr>
              <w:lastRenderedPageBreak/>
              <w:t xml:space="preserve">8. </w:t>
            </w:r>
            <w:r w:rsidR="009F06BC" w:rsidRPr="009F06BC">
              <w:rPr>
                <w:rFonts w:cs="Times New Roman"/>
              </w:rPr>
              <w:t>Tassey, G., 1999. Standardization in Technology-Based Markets, Research Policy</w:t>
            </w:r>
          </w:p>
          <w:p w14:paraId="03E64271" w14:textId="31285184" w:rsidR="009F06BC" w:rsidRPr="009F06BC" w:rsidRDefault="00D94AFD" w:rsidP="009F06BC">
            <w:pPr>
              <w:jc w:val="left"/>
              <w:rPr>
                <w:rFonts w:cs="Times New Roman"/>
              </w:rPr>
            </w:pPr>
            <w:r>
              <w:rPr>
                <w:rFonts w:cs="Times New Roman"/>
              </w:rPr>
              <w:t xml:space="preserve">9. </w:t>
            </w:r>
            <w:r w:rsidR="009F06BC" w:rsidRPr="009F06BC">
              <w:rPr>
                <w:rFonts w:cs="Times New Roman"/>
              </w:rPr>
              <w:t xml:space="preserve">Standards, Conformity Assessment, and Trade: Into the 21st Century. Washington, DC: The National Academies Press. https://doi.org/10.17226/4921. </w:t>
            </w:r>
          </w:p>
          <w:p w14:paraId="338F920A" w14:textId="1C248CD8" w:rsidR="009F06BC" w:rsidRPr="009F06BC" w:rsidRDefault="00D94AFD" w:rsidP="009F06BC">
            <w:pPr>
              <w:jc w:val="left"/>
              <w:rPr>
                <w:rFonts w:cs="Times New Roman"/>
              </w:rPr>
            </w:pPr>
            <w:r>
              <w:rPr>
                <w:rFonts w:cs="Times New Roman"/>
              </w:rPr>
              <w:t xml:space="preserve">10. </w:t>
            </w:r>
            <w:r w:rsidR="009F06BC" w:rsidRPr="009F06BC">
              <w:rPr>
                <w:rFonts w:cs="Times New Roman"/>
              </w:rPr>
              <w:t>Bahmanziari, T., Pearson, J., Crosby, L., “Technology Adoption? A Policy Capturing Approach”, Pages 46-54 | Published online: 01 Feb 2016</w:t>
            </w:r>
          </w:p>
          <w:p w14:paraId="25E24AD3" w14:textId="684AF2CA" w:rsidR="009F06BC" w:rsidRPr="009F06BC" w:rsidRDefault="00D94AFD" w:rsidP="009F06BC">
            <w:pPr>
              <w:jc w:val="left"/>
              <w:rPr>
                <w:rFonts w:cs="Times New Roman"/>
              </w:rPr>
            </w:pPr>
            <w:r>
              <w:rPr>
                <w:rFonts w:cs="Times New Roman"/>
              </w:rPr>
              <w:t xml:space="preserve">11. </w:t>
            </w:r>
            <w:r w:rsidR="009F06BC" w:rsidRPr="009F06BC">
              <w:rPr>
                <w:rFonts w:cs="Times New Roman"/>
              </w:rPr>
              <w:t>Sinicrope, J., Komninakis, M., Nicholson, J., “Strategic Integration of Consensus Standards to Improve Technology Acceptance and Return on Investment in Federally-funded Applied R&amp;D Programs for Safety-critical Industries”, WM2021 Conference, Phoenix, AZ.</w:t>
            </w:r>
          </w:p>
          <w:p w14:paraId="755D352D" w14:textId="235A81F8" w:rsidR="009F06BC" w:rsidRPr="009F06BC" w:rsidRDefault="00D94AFD" w:rsidP="009F06BC">
            <w:pPr>
              <w:jc w:val="left"/>
              <w:rPr>
                <w:rFonts w:cs="Times New Roman"/>
              </w:rPr>
            </w:pPr>
            <w:r>
              <w:rPr>
                <w:rFonts w:cs="Times New Roman"/>
              </w:rPr>
              <w:t xml:space="preserve">12. </w:t>
            </w:r>
            <w:r w:rsidR="009F06BC" w:rsidRPr="009F06BC">
              <w:rPr>
                <w:rFonts w:cs="Times New Roman"/>
              </w:rPr>
              <w:t>Davis, F. D. (1989), "Perceived usefulness, perceived ease of use, and user acceptance of information technology", MIS Quarterly, 13 (3): 319–340.</w:t>
            </w:r>
          </w:p>
          <w:p w14:paraId="13CDE5DA" w14:textId="19AF7FE1" w:rsidR="009F06BC" w:rsidRPr="009F06BC" w:rsidRDefault="00D94AFD" w:rsidP="009F06BC">
            <w:pPr>
              <w:jc w:val="left"/>
              <w:rPr>
                <w:rFonts w:cs="Times New Roman"/>
              </w:rPr>
            </w:pPr>
            <w:r>
              <w:rPr>
                <w:rFonts w:cs="Times New Roman"/>
              </w:rPr>
              <w:t xml:space="preserve">13. </w:t>
            </w:r>
            <w:r w:rsidR="009F06BC" w:rsidRPr="009F06BC">
              <w:rPr>
                <w:rFonts w:cs="Times New Roman"/>
              </w:rPr>
              <w:t>Bachmann, R. (2022). Trust and Institutions. In: Poff, D.C., Michalos, A.C. (eds) Encyclopedia of Business and Professional Ethics. Springer, Cham. https://doi.org/10.1007/978-3-319-23514-1_1109-1cience, 35 (8): 982–1003, doi:10.1287/mnsc.35.8.982, S2CID 14580473</w:t>
            </w:r>
          </w:p>
          <w:p w14:paraId="5CF7A240" w14:textId="720445A9" w:rsidR="009F06BC" w:rsidRPr="009F06BC" w:rsidRDefault="00D94AFD" w:rsidP="009F06BC">
            <w:pPr>
              <w:jc w:val="left"/>
              <w:rPr>
                <w:rFonts w:cs="Times New Roman"/>
              </w:rPr>
            </w:pPr>
            <w:r>
              <w:rPr>
                <w:rFonts w:cs="Times New Roman"/>
              </w:rPr>
              <w:t xml:space="preserve">14. </w:t>
            </w:r>
            <w:r w:rsidR="009F06BC" w:rsidRPr="009F06BC">
              <w:rPr>
                <w:rFonts w:cs="Times New Roman"/>
              </w:rPr>
              <w:t>ASTM, Standard Specification for Permanent Coatings Used to Mitigate Spread of Radioactive Contamination, ASTM E3105-22.</w:t>
            </w:r>
          </w:p>
          <w:p w14:paraId="2EC6B1CA" w14:textId="24DC1BB2" w:rsidR="00DF36FD" w:rsidRDefault="00D94AFD" w:rsidP="009F06BC">
            <w:pPr>
              <w:jc w:val="left"/>
              <w:rPr>
                <w:rFonts w:cs="Times New Roman"/>
              </w:rPr>
            </w:pPr>
            <w:r>
              <w:rPr>
                <w:rFonts w:cs="Times New Roman"/>
              </w:rPr>
              <w:t xml:space="preserve">15. </w:t>
            </w:r>
            <w:r w:rsidR="009F06BC" w:rsidRPr="009F06BC">
              <w:rPr>
                <w:rFonts w:cs="Times New Roman"/>
              </w:rPr>
              <w:t>ASTM, Standard Specification for Permanent Foam Fixatives Used to Mitigate Spread of Radioactive Contamination, ASTM E3191-19.</w:t>
            </w:r>
          </w:p>
        </w:tc>
      </w:tr>
    </w:tbl>
    <w:p w14:paraId="69D29CEC" w14:textId="77777777" w:rsidR="00494E80" w:rsidRPr="00D64339" w:rsidRDefault="00494E80">
      <w:pPr>
        <w:rPr>
          <w:rFonts w:cs="Times New Roman"/>
        </w:rPr>
      </w:pPr>
    </w:p>
    <w:p w14:paraId="7C4CF528" w14:textId="77777777" w:rsidR="00E34692" w:rsidRPr="00D64339" w:rsidRDefault="00E34692">
      <w:pPr>
        <w:rPr>
          <w:rFonts w:cs="Times New Roman"/>
        </w:rPr>
      </w:pPr>
    </w:p>
    <w:p w14:paraId="2CB2EA8B" w14:textId="77777777" w:rsidR="006C5D0C" w:rsidRPr="00D64339" w:rsidRDefault="006C5D0C">
      <w:pPr>
        <w:rPr>
          <w:rFonts w:cs="Times New Roman"/>
        </w:rPr>
      </w:pPr>
    </w:p>
    <w:sectPr w:rsidR="006C5D0C" w:rsidRPr="00D64339" w:rsidSect="00AA3C2D">
      <w:headerReference w:type="default" r:id="rId10"/>
      <w:footerReference w:type="default" r:id="rId11"/>
      <w:pgSz w:w="12240" w:h="15840"/>
      <w:pgMar w:top="1440" w:right="1440" w:bottom="1440"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FB738" w14:textId="77777777" w:rsidR="0064321B" w:rsidRDefault="0064321B" w:rsidP="00D86791">
      <w:pPr>
        <w:spacing w:before="0" w:after="0"/>
      </w:pPr>
      <w:r>
        <w:separator/>
      </w:r>
    </w:p>
  </w:endnote>
  <w:endnote w:type="continuationSeparator" w:id="0">
    <w:p w14:paraId="5E42C2F2" w14:textId="77777777" w:rsidR="0064321B" w:rsidRDefault="0064321B" w:rsidP="00D8679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imes New Roman"/>
      </w:rPr>
      <w:id w:val="967396363"/>
      <w:docPartObj>
        <w:docPartGallery w:val="Page Numbers (Bottom of Page)"/>
        <w:docPartUnique/>
      </w:docPartObj>
    </w:sdtPr>
    <w:sdtEndPr/>
    <w:sdtContent>
      <w:sdt>
        <w:sdtPr>
          <w:rPr>
            <w:rFonts w:cs="Times New Roman"/>
          </w:rPr>
          <w:id w:val="1728636285"/>
          <w:docPartObj>
            <w:docPartGallery w:val="Page Numbers (Top of Page)"/>
            <w:docPartUnique/>
          </w:docPartObj>
        </w:sdtPr>
        <w:sdtEndPr/>
        <w:sdtContent>
          <w:p w14:paraId="7A4929C5" w14:textId="68B77969" w:rsidR="00D86791" w:rsidRPr="00EB2342" w:rsidRDefault="00D86791" w:rsidP="00D86791">
            <w:pPr>
              <w:pStyle w:val="Footer"/>
              <w:shd w:val="clear" w:color="auto" w:fill="F2F2F2" w:themeFill="background1" w:themeFillShade="F2"/>
              <w:jc w:val="center"/>
              <w:rPr>
                <w:rFonts w:cs="Times New Roman"/>
              </w:rPr>
            </w:pPr>
            <w:r w:rsidRPr="00EB2342">
              <w:rPr>
                <w:rFonts w:cs="Times New Roman"/>
              </w:rPr>
              <w:t xml:space="preserve">Page </w:t>
            </w:r>
            <w:r w:rsidRPr="00EB2342">
              <w:rPr>
                <w:rFonts w:cs="Times New Roman"/>
                <w:b/>
                <w:bCs/>
                <w:szCs w:val="24"/>
              </w:rPr>
              <w:fldChar w:fldCharType="begin"/>
            </w:r>
            <w:r w:rsidRPr="00EB2342">
              <w:rPr>
                <w:rFonts w:cs="Times New Roman"/>
                <w:b/>
                <w:bCs/>
              </w:rPr>
              <w:instrText xml:space="preserve"> PAGE </w:instrText>
            </w:r>
            <w:r w:rsidRPr="00EB2342">
              <w:rPr>
                <w:rFonts w:cs="Times New Roman"/>
                <w:b/>
                <w:bCs/>
                <w:szCs w:val="24"/>
              </w:rPr>
              <w:fldChar w:fldCharType="separate"/>
            </w:r>
            <w:r w:rsidR="00E52AB1">
              <w:rPr>
                <w:rFonts w:cs="Times New Roman"/>
                <w:b/>
                <w:bCs/>
                <w:noProof/>
              </w:rPr>
              <w:t>4</w:t>
            </w:r>
            <w:r w:rsidRPr="00EB2342">
              <w:rPr>
                <w:rFonts w:cs="Times New Roman"/>
                <w:b/>
                <w:bCs/>
                <w:szCs w:val="24"/>
              </w:rPr>
              <w:fldChar w:fldCharType="end"/>
            </w:r>
            <w:r w:rsidRPr="00EB2342">
              <w:rPr>
                <w:rFonts w:cs="Times New Roman"/>
              </w:rPr>
              <w:t xml:space="preserve"> of </w:t>
            </w:r>
            <w:r w:rsidRPr="00EB2342">
              <w:rPr>
                <w:rFonts w:cs="Times New Roman"/>
                <w:b/>
                <w:bCs/>
                <w:szCs w:val="24"/>
              </w:rPr>
              <w:fldChar w:fldCharType="begin"/>
            </w:r>
            <w:r w:rsidRPr="00EB2342">
              <w:rPr>
                <w:rFonts w:cs="Times New Roman"/>
                <w:b/>
                <w:bCs/>
              </w:rPr>
              <w:instrText xml:space="preserve"> NUMPAGES  </w:instrText>
            </w:r>
            <w:r w:rsidRPr="00EB2342">
              <w:rPr>
                <w:rFonts w:cs="Times New Roman"/>
                <w:b/>
                <w:bCs/>
                <w:szCs w:val="24"/>
              </w:rPr>
              <w:fldChar w:fldCharType="separate"/>
            </w:r>
            <w:r w:rsidR="00E52AB1">
              <w:rPr>
                <w:rFonts w:cs="Times New Roman"/>
                <w:b/>
                <w:bCs/>
                <w:noProof/>
              </w:rPr>
              <w:t>4</w:t>
            </w:r>
            <w:r w:rsidRPr="00EB2342">
              <w:rPr>
                <w:rFonts w:cs="Times New Roman"/>
                <w:b/>
                <w:bCs/>
                <w:szCs w:val="24"/>
              </w:rPr>
              <w:fldChar w:fldCharType="end"/>
            </w:r>
          </w:p>
        </w:sdtContent>
      </w:sdt>
    </w:sdtContent>
  </w:sdt>
  <w:p w14:paraId="41F163AF" w14:textId="77777777" w:rsidR="00D86791" w:rsidRDefault="00D867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C4BD1" w14:textId="77777777" w:rsidR="0064321B" w:rsidRDefault="0064321B" w:rsidP="00D86791">
      <w:pPr>
        <w:spacing w:before="0" w:after="0"/>
      </w:pPr>
      <w:r>
        <w:separator/>
      </w:r>
    </w:p>
  </w:footnote>
  <w:footnote w:type="continuationSeparator" w:id="0">
    <w:p w14:paraId="71A45AD1" w14:textId="77777777" w:rsidR="0064321B" w:rsidRDefault="0064321B" w:rsidP="00D8679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9F1E4" w14:textId="7B2A9470" w:rsidR="00473AA5" w:rsidRDefault="00473AA5" w:rsidP="00473AA5">
    <w:pPr>
      <w:pStyle w:val="Header"/>
      <w:jc w:val="center"/>
    </w:pPr>
    <w:r>
      <w:rPr>
        <w:noProof/>
        <w14:ligatures w14:val="standardContextual"/>
      </w:rPr>
      <w:drawing>
        <wp:inline distT="0" distB="0" distL="0" distR="0" wp14:anchorId="2B8D8B3E" wp14:editId="09E15006">
          <wp:extent cx="3829050" cy="872991"/>
          <wp:effectExtent l="0" t="0" r="0" b="3810"/>
          <wp:docPr id="1933047290"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340004" name="Picture 1" descr="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885800" cy="885929"/>
                  </a:xfrm>
                  <a:prstGeom prst="rect">
                    <a:avLst/>
                  </a:prstGeom>
                </pic:spPr>
              </pic:pic>
            </a:graphicData>
          </a:graphic>
        </wp:inline>
      </w:drawing>
    </w:r>
  </w:p>
  <w:p w14:paraId="78283CC1" w14:textId="77777777" w:rsidR="00AA3C2D" w:rsidRDefault="00AA3C2D" w:rsidP="00473AA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9572E"/>
    <w:multiLevelType w:val="hybridMultilevel"/>
    <w:tmpl w:val="B150DA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E353E7"/>
    <w:multiLevelType w:val="hybridMultilevel"/>
    <w:tmpl w:val="3C5E6B9A"/>
    <w:lvl w:ilvl="0" w:tplc="70CEF350">
      <w:start w:val="1"/>
      <w:numFmt w:val="bullet"/>
      <w:lvlText w:val="o"/>
      <w:lvlJc w:val="left"/>
      <w:pPr>
        <w:tabs>
          <w:tab w:val="num" w:pos="720"/>
        </w:tabs>
        <w:ind w:left="720" w:hanging="360"/>
      </w:pPr>
      <w:rPr>
        <w:rFonts w:ascii="Courier New" w:hAnsi="Courier New" w:hint="default"/>
      </w:rPr>
    </w:lvl>
    <w:lvl w:ilvl="1" w:tplc="D480BADE">
      <w:numFmt w:val="bullet"/>
      <w:lvlText w:val="o"/>
      <w:lvlJc w:val="left"/>
      <w:pPr>
        <w:tabs>
          <w:tab w:val="num" w:pos="1440"/>
        </w:tabs>
        <w:ind w:left="1440" w:hanging="360"/>
      </w:pPr>
      <w:rPr>
        <w:rFonts w:ascii="Courier New" w:hAnsi="Courier New" w:hint="default"/>
      </w:rPr>
    </w:lvl>
    <w:lvl w:ilvl="2" w:tplc="8F764692" w:tentative="1">
      <w:start w:val="1"/>
      <w:numFmt w:val="bullet"/>
      <w:lvlText w:val="o"/>
      <w:lvlJc w:val="left"/>
      <w:pPr>
        <w:tabs>
          <w:tab w:val="num" w:pos="2160"/>
        </w:tabs>
        <w:ind w:left="2160" w:hanging="360"/>
      </w:pPr>
      <w:rPr>
        <w:rFonts w:ascii="Courier New" w:hAnsi="Courier New" w:hint="default"/>
      </w:rPr>
    </w:lvl>
    <w:lvl w:ilvl="3" w:tplc="B4DE21C2" w:tentative="1">
      <w:start w:val="1"/>
      <w:numFmt w:val="bullet"/>
      <w:lvlText w:val="o"/>
      <w:lvlJc w:val="left"/>
      <w:pPr>
        <w:tabs>
          <w:tab w:val="num" w:pos="2880"/>
        </w:tabs>
        <w:ind w:left="2880" w:hanging="360"/>
      </w:pPr>
      <w:rPr>
        <w:rFonts w:ascii="Courier New" w:hAnsi="Courier New" w:hint="default"/>
      </w:rPr>
    </w:lvl>
    <w:lvl w:ilvl="4" w:tplc="88B4F6B0" w:tentative="1">
      <w:start w:val="1"/>
      <w:numFmt w:val="bullet"/>
      <w:lvlText w:val="o"/>
      <w:lvlJc w:val="left"/>
      <w:pPr>
        <w:tabs>
          <w:tab w:val="num" w:pos="3600"/>
        </w:tabs>
        <w:ind w:left="3600" w:hanging="360"/>
      </w:pPr>
      <w:rPr>
        <w:rFonts w:ascii="Courier New" w:hAnsi="Courier New" w:hint="default"/>
      </w:rPr>
    </w:lvl>
    <w:lvl w:ilvl="5" w:tplc="5B30B31A" w:tentative="1">
      <w:start w:val="1"/>
      <w:numFmt w:val="bullet"/>
      <w:lvlText w:val="o"/>
      <w:lvlJc w:val="left"/>
      <w:pPr>
        <w:tabs>
          <w:tab w:val="num" w:pos="4320"/>
        </w:tabs>
        <w:ind w:left="4320" w:hanging="360"/>
      </w:pPr>
      <w:rPr>
        <w:rFonts w:ascii="Courier New" w:hAnsi="Courier New" w:hint="default"/>
      </w:rPr>
    </w:lvl>
    <w:lvl w:ilvl="6" w:tplc="86FCEF94" w:tentative="1">
      <w:start w:val="1"/>
      <w:numFmt w:val="bullet"/>
      <w:lvlText w:val="o"/>
      <w:lvlJc w:val="left"/>
      <w:pPr>
        <w:tabs>
          <w:tab w:val="num" w:pos="5040"/>
        </w:tabs>
        <w:ind w:left="5040" w:hanging="360"/>
      </w:pPr>
      <w:rPr>
        <w:rFonts w:ascii="Courier New" w:hAnsi="Courier New" w:hint="default"/>
      </w:rPr>
    </w:lvl>
    <w:lvl w:ilvl="7" w:tplc="BB1CD5C6" w:tentative="1">
      <w:start w:val="1"/>
      <w:numFmt w:val="bullet"/>
      <w:lvlText w:val="o"/>
      <w:lvlJc w:val="left"/>
      <w:pPr>
        <w:tabs>
          <w:tab w:val="num" w:pos="5760"/>
        </w:tabs>
        <w:ind w:left="5760" w:hanging="360"/>
      </w:pPr>
      <w:rPr>
        <w:rFonts w:ascii="Courier New" w:hAnsi="Courier New" w:hint="default"/>
      </w:rPr>
    </w:lvl>
    <w:lvl w:ilvl="8" w:tplc="C6EE348E" w:tentative="1">
      <w:start w:val="1"/>
      <w:numFmt w:val="bullet"/>
      <w:lvlText w:val="o"/>
      <w:lvlJc w:val="left"/>
      <w:pPr>
        <w:tabs>
          <w:tab w:val="num" w:pos="6480"/>
        </w:tabs>
        <w:ind w:left="6480" w:hanging="360"/>
      </w:pPr>
      <w:rPr>
        <w:rFonts w:ascii="Courier New" w:hAnsi="Courier New" w:hint="default"/>
      </w:rPr>
    </w:lvl>
  </w:abstractNum>
  <w:abstractNum w:abstractNumId="2" w15:restartNumberingAfterBreak="0">
    <w:nsid w:val="2FB16050"/>
    <w:multiLevelType w:val="hybridMultilevel"/>
    <w:tmpl w:val="F82E8D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4C242B"/>
    <w:multiLevelType w:val="hybridMultilevel"/>
    <w:tmpl w:val="622EEB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A2102E"/>
    <w:multiLevelType w:val="hybridMultilevel"/>
    <w:tmpl w:val="3B7C8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C46975"/>
    <w:multiLevelType w:val="hybridMultilevel"/>
    <w:tmpl w:val="E76E0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A71A17"/>
    <w:multiLevelType w:val="hybridMultilevel"/>
    <w:tmpl w:val="BC1C391C"/>
    <w:lvl w:ilvl="0" w:tplc="7AD8376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7F23AB"/>
    <w:multiLevelType w:val="hybridMultilevel"/>
    <w:tmpl w:val="025CF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8384703">
    <w:abstractNumId w:val="5"/>
  </w:num>
  <w:num w:numId="2" w16cid:durableId="1617639878">
    <w:abstractNumId w:val="7"/>
  </w:num>
  <w:num w:numId="3" w16cid:durableId="117572092">
    <w:abstractNumId w:val="4"/>
  </w:num>
  <w:num w:numId="4" w16cid:durableId="807627457">
    <w:abstractNumId w:val="1"/>
  </w:num>
  <w:num w:numId="5" w16cid:durableId="2074114220">
    <w:abstractNumId w:val="3"/>
  </w:num>
  <w:num w:numId="6" w16cid:durableId="1631545550">
    <w:abstractNumId w:val="2"/>
  </w:num>
  <w:num w:numId="7" w16cid:durableId="1347319357">
    <w:abstractNumId w:val="6"/>
  </w:num>
  <w:num w:numId="8" w16cid:durableId="1784155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E80"/>
    <w:rsid w:val="00055615"/>
    <w:rsid w:val="00073324"/>
    <w:rsid w:val="00087808"/>
    <w:rsid w:val="000B6A7B"/>
    <w:rsid w:val="000D1446"/>
    <w:rsid w:val="000E64B9"/>
    <w:rsid w:val="000F3E41"/>
    <w:rsid w:val="001271EB"/>
    <w:rsid w:val="00173386"/>
    <w:rsid w:val="001C2FBD"/>
    <w:rsid w:val="001E53EC"/>
    <w:rsid w:val="001E61C4"/>
    <w:rsid w:val="00247AC7"/>
    <w:rsid w:val="002602F1"/>
    <w:rsid w:val="002817B4"/>
    <w:rsid w:val="002E2035"/>
    <w:rsid w:val="00316C87"/>
    <w:rsid w:val="00325BBE"/>
    <w:rsid w:val="00326483"/>
    <w:rsid w:val="00333A57"/>
    <w:rsid w:val="0034785B"/>
    <w:rsid w:val="00384E18"/>
    <w:rsid w:val="003D4223"/>
    <w:rsid w:val="004231EA"/>
    <w:rsid w:val="004511ED"/>
    <w:rsid w:val="00454FBA"/>
    <w:rsid w:val="00456671"/>
    <w:rsid w:val="00471DB8"/>
    <w:rsid w:val="004720F2"/>
    <w:rsid w:val="00473AA5"/>
    <w:rsid w:val="00474604"/>
    <w:rsid w:val="00490F21"/>
    <w:rsid w:val="00494E80"/>
    <w:rsid w:val="004C40FC"/>
    <w:rsid w:val="004E6DC5"/>
    <w:rsid w:val="004F2736"/>
    <w:rsid w:val="00505583"/>
    <w:rsid w:val="005164E0"/>
    <w:rsid w:val="00562344"/>
    <w:rsid w:val="0057307D"/>
    <w:rsid w:val="00592908"/>
    <w:rsid w:val="005F377D"/>
    <w:rsid w:val="006144CB"/>
    <w:rsid w:val="006336FD"/>
    <w:rsid w:val="0064321B"/>
    <w:rsid w:val="00683FE7"/>
    <w:rsid w:val="006B56C4"/>
    <w:rsid w:val="006C5D0C"/>
    <w:rsid w:val="006D319B"/>
    <w:rsid w:val="00726D84"/>
    <w:rsid w:val="00735FE1"/>
    <w:rsid w:val="00743B56"/>
    <w:rsid w:val="00772070"/>
    <w:rsid w:val="00773AE2"/>
    <w:rsid w:val="007760B8"/>
    <w:rsid w:val="00781B10"/>
    <w:rsid w:val="007A3D9B"/>
    <w:rsid w:val="007B43DC"/>
    <w:rsid w:val="007C24B3"/>
    <w:rsid w:val="007D5EB0"/>
    <w:rsid w:val="007F30BD"/>
    <w:rsid w:val="007F544F"/>
    <w:rsid w:val="00802539"/>
    <w:rsid w:val="00847669"/>
    <w:rsid w:val="008B3114"/>
    <w:rsid w:val="008C5FA4"/>
    <w:rsid w:val="00924D2B"/>
    <w:rsid w:val="00960E91"/>
    <w:rsid w:val="00977061"/>
    <w:rsid w:val="0099102B"/>
    <w:rsid w:val="009D577D"/>
    <w:rsid w:val="009F06BC"/>
    <w:rsid w:val="00A81409"/>
    <w:rsid w:val="00AA3C2D"/>
    <w:rsid w:val="00AF20E6"/>
    <w:rsid w:val="00AF6A73"/>
    <w:rsid w:val="00B10213"/>
    <w:rsid w:val="00B148D8"/>
    <w:rsid w:val="00B1774A"/>
    <w:rsid w:val="00B31CC6"/>
    <w:rsid w:val="00B453DC"/>
    <w:rsid w:val="00B71448"/>
    <w:rsid w:val="00B9062C"/>
    <w:rsid w:val="00BB28EA"/>
    <w:rsid w:val="00BB4F6A"/>
    <w:rsid w:val="00C0250B"/>
    <w:rsid w:val="00C1502E"/>
    <w:rsid w:val="00C3111E"/>
    <w:rsid w:val="00C81FB9"/>
    <w:rsid w:val="00C84EA1"/>
    <w:rsid w:val="00CA4D5D"/>
    <w:rsid w:val="00CD47DF"/>
    <w:rsid w:val="00CD4C5E"/>
    <w:rsid w:val="00CF6A54"/>
    <w:rsid w:val="00D00DDB"/>
    <w:rsid w:val="00D12AF1"/>
    <w:rsid w:val="00D317F2"/>
    <w:rsid w:val="00D4063E"/>
    <w:rsid w:val="00D64339"/>
    <w:rsid w:val="00D86791"/>
    <w:rsid w:val="00D94AFD"/>
    <w:rsid w:val="00D966B0"/>
    <w:rsid w:val="00DA596B"/>
    <w:rsid w:val="00DE4F5E"/>
    <w:rsid w:val="00DE5932"/>
    <w:rsid w:val="00DF36FD"/>
    <w:rsid w:val="00E2612F"/>
    <w:rsid w:val="00E34692"/>
    <w:rsid w:val="00E37CDB"/>
    <w:rsid w:val="00E52AB1"/>
    <w:rsid w:val="00EB2342"/>
    <w:rsid w:val="00EB5D67"/>
    <w:rsid w:val="00EC6A6E"/>
    <w:rsid w:val="00EE3F80"/>
    <w:rsid w:val="00EE6790"/>
    <w:rsid w:val="00EF54B4"/>
    <w:rsid w:val="00F15201"/>
    <w:rsid w:val="00F21549"/>
    <w:rsid w:val="00F27B53"/>
    <w:rsid w:val="00F34860"/>
    <w:rsid w:val="00F47548"/>
    <w:rsid w:val="00FA7ADC"/>
    <w:rsid w:val="00FC2C3E"/>
    <w:rsid w:val="00FF536F"/>
    <w:rsid w:val="05F42C9F"/>
    <w:rsid w:val="08A795E0"/>
    <w:rsid w:val="139C1B12"/>
    <w:rsid w:val="5EF25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75C9F4"/>
  <w15:chartTrackingRefBased/>
  <w15:docId w15:val="{273C591A-FBE8-451C-8C70-E7BB28335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before="12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3EC"/>
    <w:rPr>
      <w:rFonts w:ascii="Times New Roman" w:eastAsiaTheme="minorEastAsia" w:hAnsi="Times New Roman"/>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CF6A54"/>
    <w:pPr>
      <w:jc w:val="center"/>
    </w:pPr>
    <w:rPr>
      <w:b/>
      <w:iCs/>
      <w:sz w:val="20"/>
      <w:szCs w:val="18"/>
    </w:rPr>
  </w:style>
  <w:style w:type="table" w:styleId="TableGrid">
    <w:name w:val="Table Grid"/>
    <w:basedOn w:val="TableNormal"/>
    <w:uiPriority w:val="39"/>
    <w:rsid w:val="00494E8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4E80"/>
    <w:pPr>
      <w:ind w:left="720"/>
      <w:contextualSpacing/>
    </w:pPr>
  </w:style>
  <w:style w:type="table" w:styleId="ListTable4">
    <w:name w:val="List Table 4"/>
    <w:basedOn w:val="TableNormal"/>
    <w:uiPriority w:val="49"/>
    <w:rsid w:val="00C84EA1"/>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
    <w:name w:val="Grid Table 2"/>
    <w:basedOn w:val="TableNormal"/>
    <w:uiPriority w:val="47"/>
    <w:rsid w:val="00087808"/>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3">
    <w:name w:val="Grid Table 2 Accent 3"/>
    <w:basedOn w:val="TableNormal"/>
    <w:uiPriority w:val="47"/>
    <w:rsid w:val="00087808"/>
    <w:pPr>
      <w:spacing w:after="0"/>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Header">
    <w:name w:val="header"/>
    <w:basedOn w:val="Normal"/>
    <w:link w:val="HeaderChar"/>
    <w:uiPriority w:val="99"/>
    <w:unhideWhenUsed/>
    <w:rsid w:val="00D86791"/>
    <w:pPr>
      <w:tabs>
        <w:tab w:val="center" w:pos="4680"/>
        <w:tab w:val="right" w:pos="9360"/>
      </w:tabs>
      <w:spacing w:before="0" w:after="0"/>
    </w:pPr>
  </w:style>
  <w:style w:type="character" w:customStyle="1" w:styleId="HeaderChar">
    <w:name w:val="Header Char"/>
    <w:basedOn w:val="DefaultParagraphFont"/>
    <w:link w:val="Header"/>
    <w:uiPriority w:val="99"/>
    <w:rsid w:val="00D86791"/>
    <w:rPr>
      <w:rFonts w:ascii="Times New Roman" w:eastAsiaTheme="minorEastAsia" w:hAnsi="Times New Roman"/>
      <w:kern w:val="0"/>
      <w:sz w:val="24"/>
      <w14:ligatures w14:val="none"/>
    </w:rPr>
  </w:style>
  <w:style w:type="paragraph" w:styleId="Footer">
    <w:name w:val="footer"/>
    <w:basedOn w:val="Normal"/>
    <w:link w:val="FooterChar"/>
    <w:uiPriority w:val="99"/>
    <w:unhideWhenUsed/>
    <w:rsid w:val="00D86791"/>
    <w:pPr>
      <w:tabs>
        <w:tab w:val="center" w:pos="4680"/>
        <w:tab w:val="right" w:pos="9360"/>
      </w:tabs>
      <w:spacing w:before="0" w:after="0"/>
    </w:pPr>
  </w:style>
  <w:style w:type="character" w:customStyle="1" w:styleId="FooterChar">
    <w:name w:val="Footer Char"/>
    <w:basedOn w:val="DefaultParagraphFont"/>
    <w:link w:val="Footer"/>
    <w:uiPriority w:val="99"/>
    <w:rsid w:val="00D86791"/>
    <w:rPr>
      <w:rFonts w:ascii="Times New Roman" w:eastAsiaTheme="minorEastAsia" w:hAnsi="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639627">
      <w:bodyDiv w:val="1"/>
      <w:marLeft w:val="0"/>
      <w:marRight w:val="0"/>
      <w:marTop w:val="0"/>
      <w:marBottom w:val="0"/>
      <w:divBdr>
        <w:top w:val="none" w:sz="0" w:space="0" w:color="auto"/>
        <w:left w:val="none" w:sz="0" w:space="0" w:color="auto"/>
        <w:bottom w:val="none" w:sz="0" w:space="0" w:color="auto"/>
        <w:right w:val="none" w:sz="0" w:space="0" w:color="auto"/>
      </w:divBdr>
      <w:divsChild>
        <w:div w:id="937519271">
          <w:marLeft w:val="288"/>
          <w:marRight w:val="0"/>
          <w:marTop w:val="0"/>
          <w:marBottom w:val="120"/>
          <w:divBdr>
            <w:top w:val="none" w:sz="0" w:space="0" w:color="auto"/>
            <w:left w:val="none" w:sz="0" w:space="0" w:color="auto"/>
            <w:bottom w:val="none" w:sz="0" w:space="0" w:color="auto"/>
            <w:right w:val="none" w:sz="0" w:space="0" w:color="auto"/>
          </w:divBdr>
        </w:div>
        <w:div w:id="1315379034">
          <w:marLeft w:val="288"/>
          <w:marRight w:val="0"/>
          <w:marTop w:val="0"/>
          <w:marBottom w:val="120"/>
          <w:divBdr>
            <w:top w:val="none" w:sz="0" w:space="0" w:color="auto"/>
            <w:left w:val="none" w:sz="0" w:space="0" w:color="auto"/>
            <w:bottom w:val="none" w:sz="0" w:space="0" w:color="auto"/>
            <w:right w:val="none" w:sz="0" w:space="0" w:color="auto"/>
          </w:divBdr>
        </w:div>
        <w:div w:id="2073767891">
          <w:marLeft w:val="288"/>
          <w:marRight w:val="0"/>
          <w:marTop w:val="0"/>
          <w:marBottom w:val="120"/>
          <w:divBdr>
            <w:top w:val="none" w:sz="0" w:space="0" w:color="auto"/>
            <w:left w:val="none" w:sz="0" w:space="0" w:color="auto"/>
            <w:bottom w:val="none" w:sz="0" w:space="0" w:color="auto"/>
            <w:right w:val="none" w:sz="0" w:space="0" w:color="auto"/>
          </w:divBdr>
        </w:div>
        <w:div w:id="1468426771">
          <w:marLeft w:val="576"/>
          <w:marRight w:val="0"/>
          <w:marTop w:val="0"/>
          <w:marBottom w:val="120"/>
          <w:divBdr>
            <w:top w:val="none" w:sz="0" w:space="0" w:color="auto"/>
            <w:left w:val="none" w:sz="0" w:space="0" w:color="auto"/>
            <w:bottom w:val="none" w:sz="0" w:space="0" w:color="auto"/>
            <w:right w:val="none" w:sz="0" w:space="0" w:color="auto"/>
          </w:divBdr>
        </w:div>
        <w:div w:id="567763764">
          <w:marLeft w:val="576"/>
          <w:marRight w:val="0"/>
          <w:marTop w:val="0"/>
          <w:marBottom w:val="120"/>
          <w:divBdr>
            <w:top w:val="none" w:sz="0" w:space="0" w:color="auto"/>
            <w:left w:val="none" w:sz="0" w:space="0" w:color="auto"/>
            <w:bottom w:val="none" w:sz="0" w:space="0" w:color="auto"/>
            <w:right w:val="none" w:sz="0" w:space="0" w:color="auto"/>
          </w:divBdr>
        </w:div>
        <w:div w:id="1710565408">
          <w:marLeft w:val="576"/>
          <w:marRight w:val="0"/>
          <w:marTop w:val="0"/>
          <w:marBottom w:val="120"/>
          <w:divBdr>
            <w:top w:val="none" w:sz="0" w:space="0" w:color="auto"/>
            <w:left w:val="none" w:sz="0" w:space="0" w:color="auto"/>
            <w:bottom w:val="none" w:sz="0" w:space="0" w:color="auto"/>
            <w:right w:val="none" w:sz="0" w:space="0" w:color="auto"/>
          </w:divBdr>
        </w:div>
        <w:div w:id="2024739059">
          <w:marLeft w:val="288"/>
          <w:marRight w:val="0"/>
          <w:marTop w:val="0"/>
          <w:marBottom w:val="120"/>
          <w:divBdr>
            <w:top w:val="none" w:sz="0" w:space="0" w:color="auto"/>
            <w:left w:val="none" w:sz="0" w:space="0" w:color="auto"/>
            <w:bottom w:val="none" w:sz="0" w:space="0" w:color="auto"/>
            <w:right w:val="none" w:sz="0" w:space="0" w:color="auto"/>
          </w:divBdr>
        </w:div>
        <w:div w:id="198009638">
          <w:marLeft w:val="288"/>
          <w:marRight w:val="0"/>
          <w:marTop w:val="0"/>
          <w:marBottom w:val="120"/>
          <w:divBdr>
            <w:top w:val="none" w:sz="0" w:space="0" w:color="auto"/>
            <w:left w:val="none" w:sz="0" w:space="0" w:color="auto"/>
            <w:bottom w:val="none" w:sz="0" w:space="0" w:color="auto"/>
            <w:right w:val="none" w:sz="0" w:space="0" w:color="auto"/>
          </w:divBdr>
        </w:div>
        <w:div w:id="1561554338">
          <w:marLeft w:val="288"/>
          <w:marRight w:val="0"/>
          <w:marTop w:val="0"/>
          <w:marBottom w:val="120"/>
          <w:divBdr>
            <w:top w:val="none" w:sz="0" w:space="0" w:color="auto"/>
            <w:left w:val="none" w:sz="0" w:space="0" w:color="auto"/>
            <w:bottom w:val="none" w:sz="0" w:space="0" w:color="auto"/>
            <w:right w:val="none" w:sz="0" w:space="0" w:color="auto"/>
          </w:divBdr>
        </w:div>
      </w:divsChild>
    </w:div>
    <w:div w:id="1456488399">
      <w:bodyDiv w:val="1"/>
      <w:marLeft w:val="0"/>
      <w:marRight w:val="0"/>
      <w:marTop w:val="0"/>
      <w:marBottom w:val="0"/>
      <w:divBdr>
        <w:top w:val="none" w:sz="0" w:space="0" w:color="auto"/>
        <w:left w:val="none" w:sz="0" w:space="0" w:color="auto"/>
        <w:bottom w:val="none" w:sz="0" w:space="0" w:color="auto"/>
        <w:right w:val="none" w:sz="0" w:space="0" w:color="auto"/>
      </w:divBdr>
    </w:div>
    <w:div w:id="1793472938">
      <w:bodyDiv w:val="1"/>
      <w:marLeft w:val="0"/>
      <w:marRight w:val="0"/>
      <w:marTop w:val="0"/>
      <w:marBottom w:val="0"/>
      <w:divBdr>
        <w:top w:val="none" w:sz="0" w:space="0" w:color="auto"/>
        <w:left w:val="none" w:sz="0" w:space="0" w:color="auto"/>
        <w:bottom w:val="none" w:sz="0" w:space="0" w:color="auto"/>
        <w:right w:val="none" w:sz="0" w:space="0" w:color="auto"/>
      </w:divBdr>
      <w:divsChild>
        <w:div w:id="1704985578">
          <w:marLeft w:val="547"/>
          <w:marRight w:val="0"/>
          <w:marTop w:val="0"/>
          <w:marBottom w:val="120"/>
          <w:divBdr>
            <w:top w:val="none" w:sz="0" w:space="0" w:color="auto"/>
            <w:left w:val="none" w:sz="0" w:space="0" w:color="auto"/>
            <w:bottom w:val="none" w:sz="0" w:space="0" w:color="auto"/>
            <w:right w:val="none" w:sz="0" w:space="0" w:color="auto"/>
          </w:divBdr>
        </w:div>
        <w:div w:id="2085950107">
          <w:marLeft w:val="547"/>
          <w:marRight w:val="0"/>
          <w:marTop w:val="0"/>
          <w:marBottom w:val="120"/>
          <w:divBdr>
            <w:top w:val="none" w:sz="0" w:space="0" w:color="auto"/>
            <w:left w:val="none" w:sz="0" w:space="0" w:color="auto"/>
            <w:bottom w:val="none" w:sz="0" w:space="0" w:color="auto"/>
            <w:right w:val="none" w:sz="0" w:space="0" w:color="auto"/>
          </w:divBdr>
        </w:div>
        <w:div w:id="1054893661">
          <w:marLeft w:val="547"/>
          <w:marRight w:val="0"/>
          <w:marTop w:val="0"/>
          <w:marBottom w:val="120"/>
          <w:divBdr>
            <w:top w:val="none" w:sz="0" w:space="0" w:color="auto"/>
            <w:left w:val="none" w:sz="0" w:space="0" w:color="auto"/>
            <w:bottom w:val="none" w:sz="0" w:space="0" w:color="auto"/>
            <w:right w:val="none" w:sz="0" w:space="0" w:color="auto"/>
          </w:divBdr>
        </w:div>
        <w:div w:id="1052386718">
          <w:marLeft w:val="547"/>
          <w:marRight w:val="0"/>
          <w:marTop w:val="0"/>
          <w:marBottom w:val="120"/>
          <w:divBdr>
            <w:top w:val="none" w:sz="0" w:space="0" w:color="auto"/>
            <w:left w:val="none" w:sz="0" w:space="0" w:color="auto"/>
            <w:bottom w:val="none" w:sz="0" w:space="0" w:color="auto"/>
            <w:right w:val="none" w:sz="0" w:space="0" w:color="auto"/>
          </w:divBdr>
        </w:div>
        <w:div w:id="147552707">
          <w:marLeft w:val="547"/>
          <w:marRight w:val="0"/>
          <w:marTop w:val="0"/>
          <w:marBottom w:val="120"/>
          <w:divBdr>
            <w:top w:val="none" w:sz="0" w:space="0" w:color="auto"/>
            <w:left w:val="none" w:sz="0" w:space="0" w:color="auto"/>
            <w:bottom w:val="none" w:sz="0" w:space="0" w:color="auto"/>
            <w:right w:val="none" w:sz="0" w:space="0" w:color="auto"/>
          </w:divBdr>
        </w:div>
        <w:div w:id="1832331491">
          <w:marLeft w:val="547"/>
          <w:marRight w:val="0"/>
          <w:marTop w:val="0"/>
          <w:marBottom w:val="120"/>
          <w:divBdr>
            <w:top w:val="none" w:sz="0" w:space="0" w:color="auto"/>
            <w:left w:val="none" w:sz="0" w:space="0" w:color="auto"/>
            <w:bottom w:val="none" w:sz="0" w:space="0" w:color="auto"/>
            <w:right w:val="none" w:sz="0" w:space="0" w:color="auto"/>
          </w:divBdr>
        </w:div>
        <w:div w:id="165949830">
          <w:marLeft w:val="547"/>
          <w:marRight w:val="0"/>
          <w:marTop w:val="0"/>
          <w:marBottom w:val="120"/>
          <w:divBdr>
            <w:top w:val="none" w:sz="0" w:space="0" w:color="auto"/>
            <w:left w:val="none" w:sz="0" w:space="0" w:color="auto"/>
            <w:bottom w:val="none" w:sz="0" w:space="0" w:color="auto"/>
            <w:right w:val="none" w:sz="0" w:space="0" w:color="auto"/>
          </w:divBdr>
        </w:div>
        <w:div w:id="1772167143">
          <w:marLeft w:val="547"/>
          <w:marRight w:val="0"/>
          <w:marTop w:val="0"/>
          <w:marBottom w:val="120"/>
          <w:divBdr>
            <w:top w:val="none" w:sz="0" w:space="0" w:color="auto"/>
            <w:left w:val="none" w:sz="0" w:space="0" w:color="auto"/>
            <w:bottom w:val="none" w:sz="0" w:space="0" w:color="auto"/>
            <w:right w:val="none" w:sz="0" w:space="0" w:color="auto"/>
          </w:divBdr>
        </w:div>
        <w:div w:id="1176923096">
          <w:marLeft w:val="547"/>
          <w:marRight w:val="0"/>
          <w:marTop w:val="0"/>
          <w:marBottom w:val="120"/>
          <w:divBdr>
            <w:top w:val="none" w:sz="0" w:space="0" w:color="auto"/>
            <w:left w:val="none" w:sz="0" w:space="0" w:color="auto"/>
            <w:bottom w:val="none" w:sz="0" w:space="0" w:color="auto"/>
            <w:right w:val="none" w:sz="0" w:space="0" w:color="auto"/>
          </w:divBdr>
        </w:div>
        <w:div w:id="1305815915">
          <w:marLeft w:val="547"/>
          <w:marRight w:val="0"/>
          <w:marTop w:val="0"/>
          <w:marBottom w:val="120"/>
          <w:divBdr>
            <w:top w:val="none" w:sz="0" w:space="0" w:color="auto"/>
            <w:left w:val="none" w:sz="0" w:space="0" w:color="auto"/>
            <w:bottom w:val="none" w:sz="0" w:space="0" w:color="auto"/>
            <w:right w:val="none" w:sz="0" w:space="0" w:color="auto"/>
          </w:divBdr>
        </w:div>
        <w:div w:id="896938316">
          <w:marLeft w:val="547"/>
          <w:marRight w:val="0"/>
          <w:marTop w:val="0"/>
          <w:marBottom w:val="120"/>
          <w:divBdr>
            <w:top w:val="none" w:sz="0" w:space="0" w:color="auto"/>
            <w:left w:val="none" w:sz="0" w:space="0" w:color="auto"/>
            <w:bottom w:val="none" w:sz="0" w:space="0" w:color="auto"/>
            <w:right w:val="none" w:sz="0" w:space="0" w:color="auto"/>
          </w:divBdr>
        </w:div>
        <w:div w:id="1519470543">
          <w:marLeft w:val="547"/>
          <w:marRight w:val="0"/>
          <w:marTop w:val="0"/>
          <w:marBottom w:val="120"/>
          <w:divBdr>
            <w:top w:val="none" w:sz="0" w:space="0" w:color="auto"/>
            <w:left w:val="none" w:sz="0" w:space="0" w:color="auto"/>
            <w:bottom w:val="none" w:sz="0" w:space="0" w:color="auto"/>
            <w:right w:val="none" w:sz="0" w:space="0" w:color="auto"/>
          </w:divBdr>
        </w:div>
        <w:div w:id="1367637734">
          <w:marLeft w:val="547"/>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7587E4177CA2143B3E6DDA700743CC2" ma:contentTypeVersion="0" ma:contentTypeDescription="Create a new document." ma:contentTypeScope="" ma:versionID="627a0b98ad4b7d7ebf4b6b67ac176054">
  <xsd:schema xmlns:xsd="http://www.w3.org/2001/XMLSchema" xmlns:xs="http://www.w3.org/2001/XMLSchema" xmlns:p="http://schemas.microsoft.com/office/2006/metadata/properties" targetNamespace="http://schemas.microsoft.com/office/2006/metadata/properties" ma:root="true" ma:fieldsID="b84c390a07b92f3072bc78982b6f0c3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59326F-367C-4CB7-BAB0-1F8FFBB6D8CD}">
  <ds:schemaRefs>
    <ds:schemaRef ds:uri="http://schemas.microsoft.com/sharepoint/v3/contenttype/forms"/>
  </ds:schemaRefs>
</ds:datastoreItem>
</file>

<file path=customXml/itemProps2.xml><?xml version="1.0" encoding="utf-8"?>
<ds:datastoreItem xmlns:ds="http://schemas.openxmlformats.org/officeDocument/2006/customXml" ds:itemID="{36DC49A2-D33E-4CB3-8CED-19DC662F4391}"/>
</file>

<file path=customXml/itemProps3.xml><?xml version="1.0" encoding="utf-8"?>
<ds:datastoreItem xmlns:ds="http://schemas.openxmlformats.org/officeDocument/2006/customXml" ds:itemID="{7136DFCA-D397-4ED8-A71B-3E400FC6B536}">
  <ds:schemaRefs>
    <ds:schemaRef ds:uri="http://www.w3.org/XML/1998/namespace"/>
    <ds:schemaRef ds:uri="942e8254-f0a9-4f3f-b353-5b41fd88041d"/>
    <ds:schemaRef ds:uri="http://schemas.microsoft.com/office/2006/documentManagement/types"/>
    <ds:schemaRef ds:uri="http://purl.org/dc/elements/1.1/"/>
    <ds:schemaRef ds:uri="http://schemas.microsoft.com/office/2006/metadata/properties"/>
    <ds:schemaRef ds:uri="http://purl.org/dc/dcmitype/"/>
    <ds:schemaRef ds:uri="http://schemas.microsoft.com/office/infopath/2007/PartnerControls"/>
    <ds:schemaRef ds:uri="http://schemas.openxmlformats.org/package/2006/metadata/core-properties"/>
    <ds:schemaRef ds:uri="424ce9a1-27d9-4c0a-9657-d1af9ccd2c0b"/>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1589</Words>
  <Characters>9060</Characters>
  <Application>Microsoft Office Word</Application>
  <DocSecurity>0</DocSecurity>
  <Lines>75</Lines>
  <Paragraphs>21</Paragraphs>
  <ScaleCrop>false</ScaleCrop>
  <Company/>
  <LinksUpToDate>false</LinksUpToDate>
  <CharactersWithSpaces>10628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Mellissa Komninakis</dc:creator>
  <cp:keywords/>
  <dc:description/>
  <cp:lastModifiedBy>Mellissa Komninakis</cp:lastModifiedBy>
  <cp:revision>2</cp:revision>
  <dcterms:created xsi:type="dcterms:W3CDTF">2025-09-24T17:08:00Z</dcterms:created>
  <dcterms:modified xsi:type="dcterms:W3CDTF">2025-09-24T17:08:00Z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0x01010097587E4177CA2143B3E6DDA700743CC2</vt:lpwstr>
  </property>
  <property fmtid="{D5CDD505-2E9C-101B-9397-08002B2CF9AE}" pid="3" name="MediaServiceImageTags">
    <vt:lpwstr/>
  </property>
  <property fmtid="{D5CDD505-2E9C-101B-9397-08002B2CF9AE}" pid="4" name="Order">
    <vt:r8>1151500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