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DC7E2" w14:textId="5ACD770D" w:rsidR="003071DF" w:rsidRDefault="003071DF" w:rsidP="003071DF">
      <w:r w:rsidRPr="003071DF">
        <w:t> </w:t>
      </w:r>
      <w:r w:rsidRPr="003071DF">
        <w:rPr>
          <w:b/>
          <w:bCs/>
        </w:rPr>
        <w:t>Scope E30.11 Interdisciplinary Forensic Science Standards</w:t>
      </w:r>
      <w:r w:rsidR="00F70228">
        <w:t>. D</w:t>
      </w:r>
      <w:r w:rsidRPr="003071DF">
        <w:t>evelop</w:t>
      </w:r>
      <w:r w:rsidR="00F70228">
        <w:t>s</w:t>
      </w:r>
      <w:r w:rsidRPr="003071DF">
        <w:t xml:space="preserve"> and maint</w:t>
      </w:r>
      <w:r w:rsidR="00F70228">
        <w:t>ains</w:t>
      </w:r>
      <w:r w:rsidRPr="003071DF">
        <w:t xml:space="preserve"> </w:t>
      </w:r>
      <w:r w:rsidR="00001C26">
        <w:t xml:space="preserve">consensus </w:t>
      </w:r>
      <w:r w:rsidRPr="003071DF">
        <w:t xml:space="preserve">standards </w:t>
      </w:r>
      <w:r w:rsidR="0058178D">
        <w:t>applicable</w:t>
      </w:r>
      <w:r w:rsidRPr="003071DF">
        <w:t xml:space="preserve"> across multiple forensic science</w:t>
      </w:r>
      <w:r>
        <w:t xml:space="preserve"> </w:t>
      </w:r>
      <w:r w:rsidRPr="003071DF">
        <w:t>disciplines</w:t>
      </w:r>
      <w:r w:rsidR="00C9471D">
        <w:t>. These standards cover</w:t>
      </w:r>
      <w:r w:rsidR="005921FE">
        <w:t xml:space="preserve"> </w:t>
      </w:r>
      <w:r w:rsidR="005921FE" w:rsidRPr="00AC314A">
        <w:rPr>
          <w:b/>
          <w:bCs/>
        </w:rPr>
        <w:t>general</w:t>
      </w:r>
      <w:r w:rsidR="00C9471D" w:rsidRPr="00AC314A">
        <w:rPr>
          <w:b/>
          <w:bCs/>
        </w:rPr>
        <w:t xml:space="preserve"> </w:t>
      </w:r>
      <w:r w:rsidR="005921FE">
        <w:t>topics</w:t>
      </w:r>
      <w:r w:rsidR="00A202FD">
        <w:t>,</w:t>
      </w:r>
      <w:r w:rsidRPr="003071DF">
        <w:t xml:space="preserve"> including</w:t>
      </w:r>
      <w:r w:rsidR="00F33E01">
        <w:t>, but not limited to</w:t>
      </w:r>
      <w:r w:rsidR="00A202FD">
        <w:t>,</w:t>
      </w:r>
      <w:r w:rsidRPr="003071DF">
        <w:t xml:space="preserve"> </w:t>
      </w:r>
      <w:r w:rsidR="005C196B">
        <w:t xml:space="preserve">(1) </w:t>
      </w:r>
      <w:r w:rsidR="00595461">
        <w:t xml:space="preserve">the </w:t>
      </w:r>
      <w:r w:rsidRPr="003071DF">
        <w:t>investigati</w:t>
      </w:r>
      <w:r w:rsidR="00595461">
        <w:t xml:space="preserve">on </w:t>
      </w:r>
      <w:r w:rsidR="00A45972">
        <w:t xml:space="preserve">and collection of </w:t>
      </w:r>
      <w:r w:rsidR="0063592A">
        <w:t xml:space="preserve">various </w:t>
      </w:r>
      <w:r w:rsidR="00A45972">
        <w:t>items fr</w:t>
      </w:r>
      <w:r w:rsidR="005F0AF8">
        <w:t xml:space="preserve">om </w:t>
      </w:r>
      <w:r w:rsidRPr="003071DF">
        <w:t>incident sites,</w:t>
      </w:r>
      <w:r w:rsidR="00F33E01">
        <w:t xml:space="preserve"> (2)</w:t>
      </w:r>
      <w:r>
        <w:t xml:space="preserve"> </w:t>
      </w:r>
      <w:r w:rsidRPr="00084E58">
        <w:t>training</w:t>
      </w:r>
      <w:r w:rsidR="00F33E01">
        <w:t xml:space="preserve"> (including legal, human factors, and statistical topics)</w:t>
      </w:r>
      <w:r w:rsidRPr="00084E58">
        <w:t>,</w:t>
      </w:r>
      <w:r w:rsidR="00AB3652">
        <w:t xml:space="preserve"> (3)</w:t>
      </w:r>
      <w:r w:rsidRPr="003071DF">
        <w:t xml:space="preserve"> </w:t>
      </w:r>
      <w:r w:rsidR="007528A9">
        <w:t xml:space="preserve">reporting, </w:t>
      </w:r>
      <w:r w:rsidR="00AB3652">
        <w:t xml:space="preserve">(4) </w:t>
      </w:r>
      <w:r w:rsidR="007528A9">
        <w:t xml:space="preserve">testimony, </w:t>
      </w:r>
      <w:r w:rsidR="008E6666">
        <w:t xml:space="preserve">and </w:t>
      </w:r>
      <w:r w:rsidR="00AB3652">
        <w:t xml:space="preserve">(5) </w:t>
      </w:r>
      <w:r w:rsidRPr="003071DF">
        <w:t>quality assurance.</w:t>
      </w:r>
    </w:p>
    <w:p w14:paraId="5068F57D" w14:textId="1714E86B" w:rsidR="003071DF" w:rsidRDefault="003071DF" w:rsidP="003071DF">
      <w:r w:rsidRPr="003071DF">
        <w:rPr>
          <w:b/>
          <w:bCs/>
        </w:rPr>
        <w:t>Scope E30.12 Digital and Multimedia Evidence</w:t>
      </w:r>
      <w:r w:rsidR="00C062FE">
        <w:t xml:space="preserve">. </w:t>
      </w:r>
      <w:r w:rsidRPr="003071DF">
        <w:t xml:space="preserve"> </w:t>
      </w:r>
      <w:r w:rsidR="00C062FE">
        <w:t>D</w:t>
      </w:r>
      <w:r w:rsidRPr="003071DF">
        <w:t>evelops</w:t>
      </w:r>
      <w:r w:rsidR="00C062FE">
        <w:t xml:space="preserve"> and maintains</w:t>
      </w:r>
      <w:r w:rsidRPr="003071DF">
        <w:t xml:space="preserve"> consensus standards </w:t>
      </w:r>
      <w:r w:rsidR="0013391E">
        <w:t>specific to the</w:t>
      </w:r>
      <w:r w:rsidR="00296297">
        <w:t xml:space="preserve"> </w:t>
      </w:r>
      <w:r w:rsidR="00855720">
        <w:t xml:space="preserve">forensic </w:t>
      </w:r>
      <w:r w:rsidR="005D4A9B">
        <w:t>examination</w:t>
      </w:r>
      <w:r w:rsidR="00855720">
        <w:t xml:space="preserve"> of digital and multimedia evidence</w:t>
      </w:r>
      <w:r w:rsidR="00341ACC">
        <w:t xml:space="preserve"> for use in investigations and legal proce</w:t>
      </w:r>
      <w:r w:rsidR="00C327B5">
        <w:t>e</w:t>
      </w:r>
      <w:r w:rsidR="00341ACC">
        <w:t>dings</w:t>
      </w:r>
      <w:r w:rsidR="00855720">
        <w:t xml:space="preserve">. These standards cover topics including (1) </w:t>
      </w:r>
      <w:r w:rsidRPr="003071DF">
        <w:t>the</w:t>
      </w:r>
      <w:r w:rsidR="00C062FE">
        <w:t xml:space="preserve"> </w:t>
      </w:r>
      <w:r w:rsidRPr="003071DF">
        <w:t xml:space="preserve">identification, collection, </w:t>
      </w:r>
      <w:r w:rsidR="0031235E">
        <w:t xml:space="preserve">and </w:t>
      </w:r>
      <w:r w:rsidRPr="003071DF">
        <w:t>preservation</w:t>
      </w:r>
      <w:r w:rsidR="0031235E">
        <w:t xml:space="preserve"> of digital evidence</w:t>
      </w:r>
      <w:r w:rsidRPr="003071DF">
        <w:t xml:space="preserve">, </w:t>
      </w:r>
      <w:r w:rsidR="009A394D">
        <w:t xml:space="preserve">(2) </w:t>
      </w:r>
      <w:r w:rsidR="00723254">
        <w:t xml:space="preserve">the </w:t>
      </w:r>
      <w:r w:rsidRPr="00341ACC">
        <w:t>processing</w:t>
      </w:r>
      <w:r w:rsidRPr="003071DF">
        <w:t xml:space="preserve"> and analysis of digital data and multimedia</w:t>
      </w:r>
      <w:r w:rsidR="00C062FE">
        <w:t xml:space="preserve"> </w:t>
      </w:r>
      <w:r w:rsidRPr="003071DF">
        <w:t>recordings</w:t>
      </w:r>
      <w:r w:rsidR="00723254">
        <w:t xml:space="preserve">, (3) </w:t>
      </w:r>
      <w:r w:rsidR="00334CA4">
        <w:t xml:space="preserve">the interpretation and reporting of observations and opinions obtained from the examination of </w:t>
      </w:r>
      <w:r w:rsidR="007C6AAE">
        <w:t xml:space="preserve">digital and multimedia evidence, and (4) the discipline-specific training of digital and multimedia </w:t>
      </w:r>
      <w:r w:rsidR="00341ACC">
        <w:t xml:space="preserve">examiners. </w:t>
      </w:r>
      <w:r w:rsidRPr="003071DF">
        <w:t xml:space="preserve"> </w:t>
      </w:r>
    </w:p>
    <w:p w14:paraId="3587B232" w14:textId="1B629F2D" w:rsidR="004C5E4F" w:rsidRDefault="003071DF" w:rsidP="004C5E4F">
      <w:r w:rsidRPr="003071DF">
        <w:t> </w:t>
      </w:r>
      <w:r w:rsidR="004C5E4F" w:rsidRPr="00DB2D43">
        <w:rPr>
          <w:b/>
        </w:rPr>
        <w:t>E30.13 ILEGSR.</w:t>
      </w:r>
      <w:r w:rsidR="004C5E4F" w:rsidRPr="00DB2D43">
        <w:t xml:space="preserve"> Develops and maintains consensus standards </w:t>
      </w:r>
      <w:r w:rsidR="00C23347">
        <w:t>specific</w:t>
      </w:r>
      <w:r w:rsidR="00C23347" w:rsidRPr="00DB2D43">
        <w:t xml:space="preserve"> </w:t>
      </w:r>
      <w:r w:rsidR="004C5E4F" w:rsidRPr="00DB2D43">
        <w:t xml:space="preserve">to the forensic analysis of ignitable liquids, explosives, and gunshot residue. These standards cover topics including (1) the </w:t>
      </w:r>
      <w:r w:rsidR="00B747DE">
        <w:t>handling</w:t>
      </w:r>
      <w:r w:rsidR="003F4D93">
        <w:t xml:space="preserve"> </w:t>
      </w:r>
      <w:r w:rsidR="00C430C4">
        <w:t>of thes</w:t>
      </w:r>
      <w:r w:rsidR="009B181D">
        <w:t xml:space="preserve">e types of evidence, (2) the </w:t>
      </w:r>
      <w:r w:rsidR="004C5E4F" w:rsidRPr="00DB2D43">
        <w:t>examination and analysis of these types of evidence, (</w:t>
      </w:r>
      <w:r w:rsidR="00F3322C">
        <w:t>3</w:t>
      </w:r>
      <w:r w:rsidR="004C5E4F" w:rsidRPr="00DB2D43">
        <w:t xml:space="preserve">) the interpretation and reporting of </w:t>
      </w:r>
      <w:r w:rsidR="005D79B7">
        <w:t xml:space="preserve">observations or opinions </w:t>
      </w:r>
      <w:r w:rsidR="004C5E4F" w:rsidRPr="00DB2D43">
        <w:t xml:space="preserve">obtained from the </w:t>
      </w:r>
      <w:r w:rsidR="008F6292">
        <w:t>examination</w:t>
      </w:r>
      <w:r w:rsidR="008F6292" w:rsidRPr="00DB2D43">
        <w:t xml:space="preserve"> </w:t>
      </w:r>
      <w:r w:rsidR="004C5E4F" w:rsidRPr="00DB2D43">
        <w:t>of these types of evidence</w:t>
      </w:r>
      <w:r w:rsidR="00C77C38">
        <w:t>,</w:t>
      </w:r>
      <w:r w:rsidR="004C5E4F" w:rsidRPr="00DB2D43">
        <w:t xml:space="preserve"> and (</w:t>
      </w:r>
      <w:r w:rsidR="008E7495">
        <w:t>4</w:t>
      </w:r>
      <w:r w:rsidR="004C5E4F" w:rsidRPr="00DB2D43">
        <w:t xml:space="preserve">) the </w:t>
      </w:r>
      <w:r w:rsidR="004C5E4F" w:rsidRPr="00A24B85">
        <w:t>discipline-specific training</w:t>
      </w:r>
      <w:r w:rsidR="004C5E4F" w:rsidRPr="00DB2D43">
        <w:t xml:space="preserve"> of ignitable liquid, explosives, or gunshot residue examiners</w:t>
      </w:r>
      <w:r w:rsidR="00DB2D43">
        <w:t>.</w:t>
      </w:r>
    </w:p>
    <w:p w14:paraId="03AF7A06" w14:textId="0755332A" w:rsidR="004C5E4F" w:rsidRDefault="004C5E4F" w:rsidP="004C5E4F">
      <w:r>
        <w:rPr>
          <w:b/>
          <w:bCs/>
        </w:rPr>
        <w:t>E30.14 Seized Drugs.</w:t>
      </w:r>
      <w:r>
        <w:t xml:space="preserve"> Develops and maintains consensus standards </w:t>
      </w:r>
      <w:r w:rsidR="004808D8">
        <w:t xml:space="preserve">specific </w:t>
      </w:r>
      <w:r>
        <w:t xml:space="preserve">to the forensic chemical </w:t>
      </w:r>
      <w:r w:rsidR="00FE4A50">
        <w:t xml:space="preserve">examination </w:t>
      </w:r>
      <w:r>
        <w:t xml:space="preserve">of seized drug evidence for the presence of controlled substances and related analytes of interest. These standards cover topics including (1) the handling </w:t>
      </w:r>
      <w:r w:rsidR="000C6950">
        <w:t xml:space="preserve">of seized drug evidence, </w:t>
      </w:r>
      <w:r w:rsidR="0076467B">
        <w:t xml:space="preserve">(2) the </w:t>
      </w:r>
      <w:r w:rsidR="004968FA">
        <w:t xml:space="preserve">examination and </w:t>
      </w:r>
      <w:r>
        <w:t>analysis of seized drug evidence, (</w:t>
      </w:r>
      <w:r w:rsidR="0076467B">
        <w:t>3</w:t>
      </w:r>
      <w:r>
        <w:t xml:space="preserve">) the </w:t>
      </w:r>
      <w:r w:rsidR="00E7260D">
        <w:t xml:space="preserve">interpretation and </w:t>
      </w:r>
      <w:r>
        <w:t xml:space="preserve">reporting of </w:t>
      </w:r>
      <w:r w:rsidR="00EF5589">
        <w:t xml:space="preserve">observations and opinions </w:t>
      </w:r>
      <w:r>
        <w:t xml:space="preserve">obtained from the </w:t>
      </w:r>
      <w:r w:rsidR="00EF5589">
        <w:t xml:space="preserve">examination </w:t>
      </w:r>
      <w:r>
        <w:t>of seized drug evidence</w:t>
      </w:r>
      <w:r w:rsidR="00C77C38">
        <w:t>,</w:t>
      </w:r>
      <w:r>
        <w:t xml:space="preserve"> and (</w:t>
      </w:r>
      <w:r w:rsidR="00E7260D">
        <w:t>4</w:t>
      </w:r>
      <w:r>
        <w:t xml:space="preserve">) the </w:t>
      </w:r>
      <w:r w:rsidRPr="00A24B85">
        <w:t>discipline-specific training</w:t>
      </w:r>
      <w:r>
        <w:t xml:space="preserve"> of seized drug analysts.</w:t>
      </w:r>
    </w:p>
    <w:p w14:paraId="6DFC4DF5" w14:textId="505DB24A" w:rsidR="004C5E4F" w:rsidRDefault="004C5E4F" w:rsidP="004C5E4F">
      <w:r>
        <w:rPr>
          <w:b/>
          <w:bCs/>
        </w:rPr>
        <w:t>E30.15 Trace.</w:t>
      </w:r>
      <w:r>
        <w:t xml:space="preserve"> Develops and maintains consensus standards </w:t>
      </w:r>
      <w:r w:rsidR="00C15527">
        <w:t xml:space="preserve">specific </w:t>
      </w:r>
      <w:r>
        <w:t xml:space="preserve">to the forensic </w:t>
      </w:r>
      <w:r w:rsidR="00C15527">
        <w:t xml:space="preserve">examination </w:t>
      </w:r>
      <w:r>
        <w:t xml:space="preserve">of </w:t>
      </w:r>
      <w:r w:rsidR="00001C26">
        <w:t>t</w:t>
      </w:r>
      <w:r>
        <w:t xml:space="preserve">race </w:t>
      </w:r>
      <w:r w:rsidR="00001C26">
        <w:t>e</w:t>
      </w:r>
      <w:r>
        <w:t xml:space="preserve">vidence (e.g., hairs, fibers, paint, tape, glass, </w:t>
      </w:r>
      <w:r w:rsidR="00BE2C5B">
        <w:t xml:space="preserve">physical fit, </w:t>
      </w:r>
      <w:r>
        <w:t xml:space="preserve">and geological materials). These standards cover topics including (1) the </w:t>
      </w:r>
      <w:r w:rsidR="008C6B49">
        <w:t xml:space="preserve">handling of </w:t>
      </w:r>
      <w:r w:rsidR="00ED4034">
        <w:t xml:space="preserve">trace evidence, (2) the </w:t>
      </w:r>
      <w:r>
        <w:t>examination and analysis of trace evidence, (</w:t>
      </w:r>
      <w:r w:rsidR="00ED4034">
        <w:t>3</w:t>
      </w:r>
      <w:r>
        <w:t xml:space="preserve">) the interpretation and reporting of </w:t>
      </w:r>
      <w:r w:rsidR="00CA3E99">
        <w:t xml:space="preserve">observations and opinions </w:t>
      </w:r>
      <w:r>
        <w:t xml:space="preserve">obtained from the </w:t>
      </w:r>
      <w:r w:rsidR="00D85615">
        <w:t xml:space="preserve">examination </w:t>
      </w:r>
      <w:r>
        <w:t>of trace evidence</w:t>
      </w:r>
      <w:r w:rsidR="00C77C38">
        <w:t>,</w:t>
      </w:r>
      <w:r>
        <w:t xml:space="preserve"> and (</w:t>
      </w:r>
      <w:r w:rsidR="00ED4034">
        <w:t>4</w:t>
      </w:r>
      <w:r>
        <w:t xml:space="preserve">) the </w:t>
      </w:r>
      <w:r w:rsidRPr="00A24B85">
        <w:t>discipline-specific training</w:t>
      </w:r>
      <w:r>
        <w:t xml:space="preserve"> of trace evidence examiners.</w:t>
      </w:r>
    </w:p>
    <w:p w14:paraId="7F3A3451" w14:textId="75C7F32E" w:rsidR="003071DF" w:rsidRPr="00DB2D43" w:rsidRDefault="003071DF" w:rsidP="003071DF">
      <w:r w:rsidRPr="003071DF">
        <w:rPr>
          <w:b/>
          <w:bCs/>
        </w:rPr>
        <w:t>E30.16 AI and Machine Learning for Forensic Science</w:t>
      </w:r>
      <w:r w:rsidR="00EC1BC5">
        <w:rPr>
          <w:b/>
          <w:bCs/>
        </w:rPr>
        <w:t xml:space="preserve">. </w:t>
      </w:r>
      <w:bookmarkStart w:id="0" w:name="OLE_LINK10"/>
      <w:r w:rsidR="00DB2D43" w:rsidRPr="00DB2D43">
        <w:rPr>
          <w:bCs/>
        </w:rPr>
        <w:t xml:space="preserve">Develops and maintains consensus standards </w:t>
      </w:r>
      <w:r w:rsidR="00434DFE">
        <w:rPr>
          <w:bCs/>
        </w:rPr>
        <w:t>specific</w:t>
      </w:r>
      <w:r w:rsidR="00434DFE" w:rsidRPr="00DB2D43">
        <w:rPr>
          <w:bCs/>
        </w:rPr>
        <w:t xml:space="preserve"> </w:t>
      </w:r>
      <w:r w:rsidR="00DB2D43" w:rsidRPr="00DB2D43">
        <w:rPr>
          <w:bCs/>
        </w:rPr>
        <w:t>to the application of artificial intelligence and machine learning to forensic processes</w:t>
      </w:r>
      <w:r w:rsidR="00D03E8E">
        <w:rPr>
          <w:bCs/>
        </w:rPr>
        <w:t xml:space="preserve">. These standards cover topics including </w:t>
      </w:r>
      <w:r w:rsidR="00222C80">
        <w:rPr>
          <w:bCs/>
        </w:rPr>
        <w:t xml:space="preserve">the </w:t>
      </w:r>
      <w:r w:rsidR="004A4F38">
        <w:rPr>
          <w:bCs/>
        </w:rPr>
        <w:t>management of evidence, analysis, interpretation, reporting</w:t>
      </w:r>
      <w:r w:rsidR="00B608CA">
        <w:rPr>
          <w:bCs/>
        </w:rPr>
        <w:t>, and training related to AI and machine learning</w:t>
      </w:r>
      <w:r w:rsidR="00CF71E9">
        <w:rPr>
          <w:bCs/>
        </w:rPr>
        <w:t xml:space="preserve"> in forensic science</w:t>
      </w:r>
      <w:r w:rsidR="00DB2D43" w:rsidRPr="00DB2D43">
        <w:rPr>
          <w:bCs/>
        </w:rPr>
        <w:t>.</w:t>
      </w:r>
    </w:p>
    <w:bookmarkEnd w:id="0"/>
    <w:p w14:paraId="2AB785E0" w14:textId="4EEF299A" w:rsidR="00874A31" w:rsidRDefault="003071DF" w:rsidP="00222C80">
      <w:commentRangeStart w:id="1"/>
      <w:r w:rsidRPr="00360EEB">
        <w:rPr>
          <w:b/>
          <w:bCs/>
          <w:highlight w:val="yellow"/>
        </w:rPr>
        <w:t>E30.17 Scene Evidence Collection</w:t>
      </w:r>
      <w:commentRangeEnd w:id="1"/>
      <w:r w:rsidR="00513704">
        <w:rPr>
          <w:rStyle w:val="CommentReference"/>
        </w:rPr>
        <w:commentReference w:id="1"/>
      </w:r>
      <w:r w:rsidR="005D6B47" w:rsidRPr="00360EEB">
        <w:rPr>
          <w:b/>
          <w:bCs/>
          <w:highlight w:val="yellow"/>
        </w:rPr>
        <w:t xml:space="preserve">. </w:t>
      </w:r>
      <w:r w:rsidR="00175D4C" w:rsidRPr="00360EEB">
        <w:rPr>
          <w:highlight w:val="yellow"/>
        </w:rPr>
        <w:t xml:space="preserve">Develops and maintains consensus standards related to </w:t>
      </w:r>
      <w:r w:rsidR="000B5F2A" w:rsidRPr="00360EEB">
        <w:rPr>
          <w:highlight w:val="yellow"/>
        </w:rPr>
        <w:t xml:space="preserve">the collection and </w:t>
      </w:r>
      <w:r w:rsidR="009C0628" w:rsidRPr="00360EEB">
        <w:rPr>
          <w:highlight w:val="yellow"/>
        </w:rPr>
        <w:t>management</w:t>
      </w:r>
      <w:r w:rsidR="000B5F2A" w:rsidRPr="00360EEB">
        <w:rPr>
          <w:highlight w:val="yellow"/>
        </w:rPr>
        <w:t xml:space="preserve"> of physical evidence from scenes. These scenes include physical locations and the human body.</w:t>
      </w:r>
      <w:r w:rsidR="000B5F2A">
        <w:t xml:space="preserve"> </w:t>
      </w:r>
    </w:p>
    <w:p w14:paraId="54CD3B71" w14:textId="2E70783D" w:rsidR="00222C80" w:rsidRPr="00A202FD" w:rsidRDefault="00A10D42" w:rsidP="00222C80">
      <w:r w:rsidRPr="003071DF">
        <w:rPr>
          <w:b/>
          <w:bCs/>
        </w:rPr>
        <w:t>Scope E30.92 Terminology</w:t>
      </w:r>
      <w:r>
        <w:t xml:space="preserve">. </w:t>
      </w:r>
      <w:r w:rsidR="00B97883">
        <w:t>Manages and maintains</w:t>
      </w:r>
      <w:r w:rsidR="00B97883" w:rsidRPr="003071DF">
        <w:t xml:space="preserve"> </w:t>
      </w:r>
      <w:r>
        <w:t xml:space="preserve">the definitions of </w:t>
      </w:r>
      <w:r w:rsidRPr="003071DF">
        <w:t xml:space="preserve">terms </w:t>
      </w:r>
      <w:r w:rsidR="00264F73">
        <w:t xml:space="preserve">generally </w:t>
      </w:r>
      <w:r w:rsidRPr="003071DF">
        <w:t>use</w:t>
      </w:r>
      <w:r>
        <w:t>d</w:t>
      </w:r>
      <w:r w:rsidRPr="003071DF">
        <w:t xml:space="preserve"> in </w:t>
      </w:r>
      <w:r>
        <w:t xml:space="preserve">the forensic sciences </w:t>
      </w:r>
      <w:r w:rsidRPr="003071DF">
        <w:t>as described in various E30 standards</w:t>
      </w:r>
      <w:r w:rsidR="005C1608">
        <w:t>, as well as</w:t>
      </w:r>
      <w:r w:rsidR="00264F73">
        <w:t xml:space="preserve"> discipline-specific terminology standards</w:t>
      </w:r>
      <w:r w:rsidR="00A202FD">
        <w:t>.</w:t>
      </w:r>
    </w:p>
    <w:sectPr w:rsidR="00222C80" w:rsidRPr="00A202FD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Getz, Allison M. (Fed)" w:date="2026-02-23T11:22:00Z" w:initials="AG">
    <w:p w14:paraId="78381437" w14:textId="77777777" w:rsidR="00513704" w:rsidRDefault="00513704" w:rsidP="00513704">
      <w:pPr>
        <w:pStyle w:val="CommentText"/>
      </w:pPr>
      <w:r>
        <w:rPr>
          <w:rStyle w:val="CommentReference"/>
        </w:rPr>
        <w:annotationRef/>
      </w:r>
      <w:r>
        <w:t xml:space="preserve">Future discussion needed as to whether this sub will remain or be sunset.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3814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2B09A9" w16cex:dateUtc="2026-02-23T16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381437" w16cid:durableId="672B09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0A90C" w14:textId="77777777" w:rsidR="00513704" w:rsidRDefault="00513704" w:rsidP="00513704">
      <w:pPr>
        <w:spacing w:after="0" w:line="240" w:lineRule="auto"/>
      </w:pPr>
      <w:r>
        <w:separator/>
      </w:r>
    </w:p>
  </w:endnote>
  <w:endnote w:type="continuationSeparator" w:id="0">
    <w:p w14:paraId="0CDC5FE5" w14:textId="77777777" w:rsidR="00513704" w:rsidRDefault="00513704" w:rsidP="00513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F74AA" w14:textId="77777777" w:rsidR="00513704" w:rsidRDefault="00513704" w:rsidP="00513704">
      <w:pPr>
        <w:spacing w:after="0" w:line="240" w:lineRule="auto"/>
      </w:pPr>
      <w:r>
        <w:separator/>
      </w:r>
    </w:p>
  </w:footnote>
  <w:footnote w:type="continuationSeparator" w:id="0">
    <w:p w14:paraId="0DF6CFC2" w14:textId="77777777" w:rsidR="00513704" w:rsidRDefault="00513704" w:rsidP="00513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9EB2" w14:textId="62378E52" w:rsidR="00513704" w:rsidRPr="00513704" w:rsidRDefault="00513704">
    <w:pPr>
      <w:pStyle w:val="Header"/>
      <w:rPr>
        <w:b/>
        <w:bCs/>
      </w:rPr>
    </w:pPr>
    <w:r w:rsidRPr="00513704">
      <w:rPr>
        <w:b/>
        <w:bCs/>
      </w:rPr>
      <w:t>E30 SUBCOMMITTEE SCOPES – APPROVED FEB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C3F7D"/>
    <w:multiLevelType w:val="hybridMultilevel"/>
    <w:tmpl w:val="C92E90DC"/>
    <w:lvl w:ilvl="0" w:tplc="BFA6C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46AD9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5882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E966D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82CD7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52F2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AAE7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E3882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898B9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3CDC0D41"/>
    <w:multiLevelType w:val="hybridMultilevel"/>
    <w:tmpl w:val="765C35F0"/>
    <w:lvl w:ilvl="0" w:tplc="8ABA6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A478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9A2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7C088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F36F1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A6679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F84F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D4078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3D8BB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412147DB"/>
    <w:multiLevelType w:val="multilevel"/>
    <w:tmpl w:val="ACA2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C1629E"/>
    <w:multiLevelType w:val="hybridMultilevel"/>
    <w:tmpl w:val="33BE7E5C"/>
    <w:lvl w:ilvl="0" w:tplc="175442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BCC4C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D886C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E3EF3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40EA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5AC50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97C0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04E4A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6252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73C80FDF"/>
    <w:multiLevelType w:val="multilevel"/>
    <w:tmpl w:val="341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59705A"/>
    <w:multiLevelType w:val="hybridMultilevel"/>
    <w:tmpl w:val="E3806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892829">
    <w:abstractNumId w:val="2"/>
  </w:num>
  <w:num w:numId="2" w16cid:durableId="1736515141">
    <w:abstractNumId w:val="4"/>
  </w:num>
  <w:num w:numId="3" w16cid:durableId="176117291">
    <w:abstractNumId w:val="5"/>
  </w:num>
  <w:num w:numId="4" w16cid:durableId="1471821399">
    <w:abstractNumId w:val="1"/>
  </w:num>
  <w:num w:numId="5" w16cid:durableId="500510808">
    <w:abstractNumId w:val="3"/>
  </w:num>
  <w:num w:numId="6" w16cid:durableId="8951697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tz, Allison M. (Fed)">
    <w15:presenceInfo w15:providerId="AD" w15:userId="S::ang19@NIST.GOV::06c44a6b-1a81-4d7a-beee-ffb4c54a9e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DF"/>
    <w:rsid w:val="00001C26"/>
    <w:rsid w:val="00024C91"/>
    <w:rsid w:val="000539B6"/>
    <w:rsid w:val="00084E58"/>
    <w:rsid w:val="00092F0C"/>
    <w:rsid w:val="000B5F2A"/>
    <w:rsid w:val="000C6950"/>
    <w:rsid w:val="00112909"/>
    <w:rsid w:val="0013391E"/>
    <w:rsid w:val="001504F8"/>
    <w:rsid w:val="00165484"/>
    <w:rsid w:val="001735F8"/>
    <w:rsid w:val="00175D4C"/>
    <w:rsid w:val="001A1228"/>
    <w:rsid w:val="001B21AA"/>
    <w:rsid w:val="001D1C7C"/>
    <w:rsid w:val="002165B2"/>
    <w:rsid w:val="00222C80"/>
    <w:rsid w:val="00246B77"/>
    <w:rsid w:val="0026108F"/>
    <w:rsid w:val="00261EC1"/>
    <w:rsid w:val="00264F73"/>
    <w:rsid w:val="00296297"/>
    <w:rsid w:val="0029764D"/>
    <w:rsid w:val="002A2593"/>
    <w:rsid w:val="002C24BD"/>
    <w:rsid w:val="002D28E1"/>
    <w:rsid w:val="0030176B"/>
    <w:rsid w:val="003071DF"/>
    <w:rsid w:val="0031235E"/>
    <w:rsid w:val="0031246E"/>
    <w:rsid w:val="0031248C"/>
    <w:rsid w:val="003301DC"/>
    <w:rsid w:val="00334CA4"/>
    <w:rsid w:val="00341ACC"/>
    <w:rsid w:val="00360EEB"/>
    <w:rsid w:val="003C5D5D"/>
    <w:rsid w:val="003E59A9"/>
    <w:rsid w:val="003F4D93"/>
    <w:rsid w:val="003F5C75"/>
    <w:rsid w:val="0041536A"/>
    <w:rsid w:val="00434DFE"/>
    <w:rsid w:val="0044276E"/>
    <w:rsid w:val="00473A53"/>
    <w:rsid w:val="004808D8"/>
    <w:rsid w:val="00483B21"/>
    <w:rsid w:val="004968FA"/>
    <w:rsid w:val="004A4F38"/>
    <w:rsid w:val="004A7366"/>
    <w:rsid w:val="004B0C9D"/>
    <w:rsid w:val="004C5E4F"/>
    <w:rsid w:val="00513704"/>
    <w:rsid w:val="005170FB"/>
    <w:rsid w:val="00541A84"/>
    <w:rsid w:val="0058178D"/>
    <w:rsid w:val="005921FE"/>
    <w:rsid w:val="00595461"/>
    <w:rsid w:val="005B2A16"/>
    <w:rsid w:val="005C1242"/>
    <w:rsid w:val="005C1608"/>
    <w:rsid w:val="005C196B"/>
    <w:rsid w:val="005C6965"/>
    <w:rsid w:val="005D4A9B"/>
    <w:rsid w:val="005D6B47"/>
    <w:rsid w:val="005D79B7"/>
    <w:rsid w:val="005F0AF8"/>
    <w:rsid w:val="00600810"/>
    <w:rsid w:val="00617A1B"/>
    <w:rsid w:val="00634652"/>
    <w:rsid w:val="0063592A"/>
    <w:rsid w:val="0064627B"/>
    <w:rsid w:val="006A71F2"/>
    <w:rsid w:val="00700FF9"/>
    <w:rsid w:val="00702B09"/>
    <w:rsid w:val="00706EBB"/>
    <w:rsid w:val="00723254"/>
    <w:rsid w:val="007528A9"/>
    <w:rsid w:val="0076467B"/>
    <w:rsid w:val="00773289"/>
    <w:rsid w:val="007858CB"/>
    <w:rsid w:val="007C6AAE"/>
    <w:rsid w:val="00855720"/>
    <w:rsid w:val="0086599D"/>
    <w:rsid w:val="00874A31"/>
    <w:rsid w:val="00892210"/>
    <w:rsid w:val="008965C2"/>
    <w:rsid w:val="008A350F"/>
    <w:rsid w:val="008C6B49"/>
    <w:rsid w:val="008E5309"/>
    <w:rsid w:val="008E6666"/>
    <w:rsid w:val="008E7495"/>
    <w:rsid w:val="008F6292"/>
    <w:rsid w:val="00943DAE"/>
    <w:rsid w:val="009612FA"/>
    <w:rsid w:val="00993E3C"/>
    <w:rsid w:val="009952C7"/>
    <w:rsid w:val="009A394D"/>
    <w:rsid w:val="009B1463"/>
    <w:rsid w:val="009B181D"/>
    <w:rsid w:val="009C0628"/>
    <w:rsid w:val="00A10D42"/>
    <w:rsid w:val="00A202FD"/>
    <w:rsid w:val="00A24A45"/>
    <w:rsid w:val="00A24B85"/>
    <w:rsid w:val="00A26613"/>
    <w:rsid w:val="00A45972"/>
    <w:rsid w:val="00A574AC"/>
    <w:rsid w:val="00A75819"/>
    <w:rsid w:val="00A9267D"/>
    <w:rsid w:val="00AB3652"/>
    <w:rsid w:val="00AC314A"/>
    <w:rsid w:val="00AC6B78"/>
    <w:rsid w:val="00AD6B03"/>
    <w:rsid w:val="00AE590D"/>
    <w:rsid w:val="00AF1CD5"/>
    <w:rsid w:val="00B608CA"/>
    <w:rsid w:val="00B747DE"/>
    <w:rsid w:val="00B8647B"/>
    <w:rsid w:val="00B86688"/>
    <w:rsid w:val="00B95333"/>
    <w:rsid w:val="00B97883"/>
    <w:rsid w:val="00BC2D3B"/>
    <w:rsid w:val="00BE2C5B"/>
    <w:rsid w:val="00BF06BB"/>
    <w:rsid w:val="00C062FE"/>
    <w:rsid w:val="00C065DC"/>
    <w:rsid w:val="00C15527"/>
    <w:rsid w:val="00C23347"/>
    <w:rsid w:val="00C327B5"/>
    <w:rsid w:val="00C430C4"/>
    <w:rsid w:val="00C62560"/>
    <w:rsid w:val="00C77C38"/>
    <w:rsid w:val="00C82890"/>
    <w:rsid w:val="00C83A06"/>
    <w:rsid w:val="00C9471D"/>
    <w:rsid w:val="00C94AA5"/>
    <w:rsid w:val="00CA3E99"/>
    <w:rsid w:val="00CE45D8"/>
    <w:rsid w:val="00CF71E9"/>
    <w:rsid w:val="00D03E8E"/>
    <w:rsid w:val="00D77844"/>
    <w:rsid w:val="00D85615"/>
    <w:rsid w:val="00DB195D"/>
    <w:rsid w:val="00DB2D43"/>
    <w:rsid w:val="00DB62E6"/>
    <w:rsid w:val="00DD14E0"/>
    <w:rsid w:val="00DE2D8F"/>
    <w:rsid w:val="00E05DFF"/>
    <w:rsid w:val="00E70AC5"/>
    <w:rsid w:val="00E7260D"/>
    <w:rsid w:val="00E90B9C"/>
    <w:rsid w:val="00EA3020"/>
    <w:rsid w:val="00EA4747"/>
    <w:rsid w:val="00EC1BC5"/>
    <w:rsid w:val="00EC4E38"/>
    <w:rsid w:val="00ED4034"/>
    <w:rsid w:val="00EE0DE2"/>
    <w:rsid w:val="00EE7036"/>
    <w:rsid w:val="00EF5589"/>
    <w:rsid w:val="00F3285A"/>
    <w:rsid w:val="00F3322C"/>
    <w:rsid w:val="00F33E01"/>
    <w:rsid w:val="00F70228"/>
    <w:rsid w:val="00FE3110"/>
    <w:rsid w:val="00FE4A50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B4C27"/>
  <w15:chartTrackingRefBased/>
  <w15:docId w15:val="{EAA9F63D-2C7D-4846-9DA6-E70D3703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1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1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1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1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1D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7022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6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B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B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B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E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3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704"/>
  </w:style>
  <w:style w:type="paragraph" w:styleId="Footer">
    <w:name w:val="footer"/>
    <w:basedOn w:val="Normal"/>
    <w:link w:val="FooterChar"/>
    <w:uiPriority w:val="99"/>
    <w:unhideWhenUsed/>
    <w:rsid w:val="00513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3F657CD00BE42B4B0B0388F8EC3B7" ma:contentTypeVersion="10" ma:contentTypeDescription="Create a new document." ma:contentTypeScope="" ma:versionID="8f056437e5671b6473cfee0d89dd6647">
  <xsd:schema xmlns:xsd="http://www.w3.org/2001/XMLSchema" xmlns:xs="http://www.w3.org/2001/XMLSchema" xmlns:p="http://schemas.microsoft.com/office/2006/metadata/properties" xmlns:ns3="edb2ca3e-6765-490b-9cc4-d29f2fc981e0" targetNamespace="http://schemas.microsoft.com/office/2006/metadata/properties" ma:root="true" ma:fieldsID="9c7632fa6213eb42d80ad0c2884696b7" ns3:_="">
    <xsd:import namespace="edb2ca3e-6765-490b-9cc4-d29f2fc981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2ca3e-6765-490b-9cc4-d29f2fc98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E485A-8655-420D-A5C1-4099311DC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6CF74E-0173-44AA-BFBB-4456C5E06A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B20E43-6481-4452-ADA7-BBAFB6A137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585A0A-0308-4634-B9D1-8E53002B8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2ca3e-6765-490b-9cc4-d29f2fc98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461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Getz, Allison M. (Fed)</dc:creator>
  <cp:keywords/>
  <dc:description/>
  <cp:lastModifiedBy>Getz, Allison M. (Fed)</cp:lastModifiedBy>
  <cp:revision>6</cp:revision>
  <dcterms:created xsi:type="dcterms:W3CDTF">2026-02-20T16:02:00Z</dcterms:created>
  <dcterms:modified xsi:type="dcterms:W3CDTF">2026-02-23T16:23:00Z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fa4039c5-79a0-4c7c-82c9-d1278d34454b</vt:lpwstr>
  </property>
  <property fmtid="{D5CDD505-2E9C-101B-9397-08002B2CF9AE}" pid="3" name="ContentTypeId">
    <vt:lpwstr>0x0101004BB3F657CD00BE42B4B0B0388F8EC3B7</vt:lpwstr>
  </property>
</Properties>
</file>